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80" w:rsidRDefault="00F4361A">
      <w:pPr>
        <w:tabs>
          <w:tab w:val="left" w:pos="0"/>
        </w:tabs>
        <w:ind w:rightChars="-73" w:right="-153"/>
        <w:jc w:val="center"/>
        <w:rPr>
          <w:rFonts w:ascii="宋体" w:hAnsi="宋体" w:cs="Arial"/>
          <w:b/>
          <w:bCs/>
          <w:sz w:val="36"/>
          <w:szCs w:val="24"/>
        </w:rPr>
      </w:pPr>
      <w:r>
        <w:rPr>
          <w:rFonts w:ascii="宋体" w:hAnsi="宋体" w:cs="Arial" w:hint="eastAsia"/>
          <w:b/>
          <w:bCs/>
          <w:sz w:val="36"/>
          <w:szCs w:val="24"/>
        </w:rPr>
        <w:t>2019年</w:t>
      </w:r>
      <w:r w:rsidR="00F42E48">
        <w:rPr>
          <w:rFonts w:ascii="宋体" w:hAnsi="宋体" w:cs="Arial" w:hint="eastAsia"/>
          <w:b/>
          <w:bCs/>
          <w:sz w:val="36"/>
          <w:szCs w:val="24"/>
        </w:rPr>
        <w:t>1</w:t>
      </w:r>
      <w:r w:rsidR="009F2AA1">
        <w:rPr>
          <w:rFonts w:ascii="宋体" w:hAnsi="宋体" w:cs="Arial" w:hint="eastAsia"/>
          <w:b/>
          <w:bCs/>
          <w:sz w:val="36"/>
          <w:szCs w:val="24"/>
        </w:rPr>
        <w:t>1</w:t>
      </w:r>
      <w:r>
        <w:rPr>
          <w:rFonts w:ascii="宋体" w:hAnsi="宋体" w:cs="Arial" w:hint="eastAsia"/>
          <w:b/>
          <w:bCs/>
          <w:sz w:val="36"/>
          <w:szCs w:val="24"/>
        </w:rPr>
        <w:t>月份辖区水上交通事故统计分析</w:t>
      </w:r>
    </w:p>
    <w:p w:rsidR="00F50280" w:rsidRDefault="00F50280">
      <w:pPr>
        <w:rPr>
          <w:rFonts w:ascii="宋体" w:hAnsi="宋体"/>
          <w:b/>
          <w:bCs/>
          <w:sz w:val="30"/>
          <w:szCs w:val="28"/>
        </w:rPr>
      </w:pPr>
    </w:p>
    <w:p w:rsidR="00F50280" w:rsidRDefault="00F4361A">
      <w:pPr>
        <w:ind w:firstLineChars="196" w:firstLine="630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一、辖区事故概况</w:t>
      </w:r>
    </w:p>
    <w:p w:rsidR="00F50280" w:rsidRDefault="003B0B5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9F2AA1">
        <w:rPr>
          <w:rFonts w:ascii="仿宋_GB2312" w:eastAsia="仿宋_GB2312" w:hint="eastAsia"/>
          <w:sz w:val="32"/>
          <w:szCs w:val="32"/>
        </w:rPr>
        <w:t>1</w:t>
      </w:r>
      <w:r w:rsidR="00F4361A">
        <w:rPr>
          <w:rFonts w:ascii="仿宋_GB2312" w:eastAsia="仿宋_GB2312" w:hint="eastAsia"/>
          <w:sz w:val="32"/>
          <w:szCs w:val="32"/>
        </w:rPr>
        <w:t>月份辖区</w:t>
      </w:r>
      <w:r w:rsidR="009F2AA1">
        <w:rPr>
          <w:rFonts w:ascii="仿宋_GB2312" w:eastAsia="仿宋_GB2312" w:hint="eastAsia"/>
          <w:sz w:val="32"/>
          <w:szCs w:val="32"/>
        </w:rPr>
        <w:t>未</w:t>
      </w:r>
      <w:r w:rsidR="00F4361A">
        <w:rPr>
          <w:rFonts w:ascii="仿宋_GB2312" w:eastAsia="仿宋_GB2312" w:hint="eastAsia"/>
          <w:sz w:val="32"/>
          <w:szCs w:val="32"/>
        </w:rPr>
        <w:t>发生一般等级</w:t>
      </w:r>
      <w:r w:rsidR="00007BD8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以上</w:t>
      </w:r>
      <w:r w:rsidR="00F4361A">
        <w:rPr>
          <w:rFonts w:ascii="仿宋_GB2312" w:eastAsia="仿宋_GB2312" w:hint="eastAsia"/>
          <w:sz w:val="32"/>
          <w:szCs w:val="32"/>
        </w:rPr>
        <w:t>水上交通事故，</w:t>
      </w:r>
      <w:r w:rsidR="003B25D4">
        <w:rPr>
          <w:rFonts w:ascii="仿宋_GB2312" w:eastAsia="仿宋_GB2312" w:hint="eastAsia"/>
          <w:sz w:val="32"/>
          <w:szCs w:val="32"/>
        </w:rPr>
        <w:t>同比持平</w:t>
      </w:r>
      <w:r w:rsidR="00F4361A">
        <w:rPr>
          <w:rFonts w:ascii="仿宋_GB2312" w:eastAsia="仿宋_GB2312" w:hint="eastAsia"/>
          <w:sz w:val="32"/>
          <w:szCs w:val="32"/>
        </w:rPr>
        <w:t>。</w:t>
      </w:r>
      <w:r w:rsidR="003B25D4">
        <w:rPr>
          <w:rFonts w:ascii="仿宋_GB2312" w:eastAsia="仿宋_GB2312" w:hint="eastAsia"/>
          <w:sz w:val="32"/>
          <w:szCs w:val="32"/>
        </w:rPr>
        <w:t>去年同期辖区也未发生</w:t>
      </w:r>
      <w:r>
        <w:rPr>
          <w:rFonts w:ascii="仿宋_GB2312" w:eastAsia="仿宋_GB2312" w:hint="eastAsia"/>
          <w:sz w:val="32"/>
          <w:szCs w:val="32"/>
        </w:rPr>
        <w:t>一般等级</w:t>
      </w:r>
      <w:r w:rsidR="003B25D4">
        <w:rPr>
          <w:rFonts w:ascii="仿宋_GB2312" w:eastAsia="仿宋_GB2312" w:hint="eastAsia"/>
          <w:sz w:val="32"/>
          <w:szCs w:val="32"/>
        </w:rPr>
        <w:t>及以上</w:t>
      </w:r>
      <w:r w:rsidR="00F4361A">
        <w:rPr>
          <w:rFonts w:ascii="仿宋_GB2312" w:eastAsia="仿宋_GB2312" w:hint="eastAsia"/>
          <w:sz w:val="32"/>
          <w:szCs w:val="32"/>
        </w:rPr>
        <w:t>事故。</w:t>
      </w:r>
    </w:p>
    <w:p w:rsidR="00F50280" w:rsidRDefault="00F436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B0B57">
        <w:rPr>
          <w:rFonts w:ascii="仿宋_GB2312" w:eastAsia="仿宋_GB2312" w:hint="eastAsia"/>
          <w:sz w:val="32"/>
          <w:szCs w:val="32"/>
        </w:rPr>
        <w:t>1</w:t>
      </w:r>
      <w:r w:rsidR="003B25D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月份发生水上交通小事故</w:t>
      </w:r>
      <w:r w:rsidR="004003F3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件，同比</w:t>
      </w:r>
      <w:r w:rsidR="003B0B57">
        <w:rPr>
          <w:rFonts w:ascii="仿宋_GB2312" w:eastAsia="仿宋_GB2312" w:hint="eastAsia"/>
          <w:sz w:val="32"/>
          <w:szCs w:val="32"/>
        </w:rPr>
        <w:t>减少</w:t>
      </w:r>
      <w:r w:rsidR="004003F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件、</w:t>
      </w:r>
      <w:r w:rsidR="003B0B57">
        <w:rPr>
          <w:rFonts w:ascii="仿宋_GB2312" w:eastAsia="仿宋_GB2312" w:hint="eastAsia"/>
          <w:sz w:val="32"/>
          <w:szCs w:val="32"/>
        </w:rPr>
        <w:t>下降</w:t>
      </w:r>
      <w:r w:rsidR="004003F3">
        <w:rPr>
          <w:rFonts w:ascii="仿宋_GB2312" w:eastAsia="仿宋_GB2312" w:hint="eastAsia"/>
          <w:sz w:val="32"/>
          <w:szCs w:val="32"/>
        </w:rPr>
        <w:t>9.1</w:t>
      </w:r>
      <w:r>
        <w:rPr>
          <w:rFonts w:ascii="仿宋_GB2312" w:eastAsia="仿宋_GB2312" w:hint="eastAsia"/>
          <w:sz w:val="32"/>
          <w:szCs w:val="32"/>
        </w:rPr>
        <w:t xml:space="preserve">%。 </w:t>
      </w:r>
    </w:p>
    <w:p w:rsidR="00F50280" w:rsidRDefault="00F4361A">
      <w:pPr>
        <w:spacing w:line="360" w:lineRule="auto"/>
        <w:ind w:firstLineChars="200" w:firstLine="643"/>
        <w:rPr>
          <w:rFonts w:ascii="宋体" w:hAnsi="宋体"/>
          <w:b/>
          <w:sz w:val="30"/>
          <w:szCs w:val="30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（一）一般等级及以上事故四项指标同比“</w:t>
      </w:r>
      <w:r w:rsidR="003B25D4">
        <w:rPr>
          <w:rFonts w:ascii="仿宋_GB2312" w:eastAsia="仿宋_GB2312" w:hAnsi="宋体" w:cs="Arial" w:hint="eastAsia"/>
          <w:b/>
          <w:sz w:val="32"/>
          <w:szCs w:val="32"/>
        </w:rPr>
        <w:t>持平</w:t>
      </w:r>
      <w:r>
        <w:rPr>
          <w:rFonts w:ascii="仿宋_GB2312" w:eastAsia="仿宋_GB2312" w:hAnsi="宋体" w:cs="Arial" w:hint="eastAsia"/>
          <w:b/>
          <w:sz w:val="32"/>
          <w:szCs w:val="32"/>
        </w:rPr>
        <w:t>”、环比“</w:t>
      </w:r>
      <w:bookmarkStart w:id="0" w:name="OLE_LINK1"/>
      <w:r>
        <w:rPr>
          <w:rFonts w:ascii="仿宋_GB2312" w:eastAsia="仿宋_GB2312" w:hAnsi="宋体" w:cs="Arial" w:hint="eastAsia"/>
          <w:b/>
          <w:sz w:val="32"/>
          <w:szCs w:val="32"/>
        </w:rPr>
        <w:t>全面</w:t>
      </w:r>
      <w:bookmarkEnd w:id="0"/>
      <w:r w:rsidR="003B0B57">
        <w:rPr>
          <w:rFonts w:ascii="仿宋_GB2312" w:eastAsia="仿宋_GB2312" w:hAnsi="宋体" w:cs="Arial" w:hint="eastAsia"/>
          <w:b/>
          <w:sz w:val="32"/>
          <w:szCs w:val="32"/>
        </w:rPr>
        <w:t>下降</w:t>
      </w:r>
      <w:r>
        <w:rPr>
          <w:rFonts w:ascii="仿宋_GB2312" w:eastAsia="仿宋_GB2312" w:hAnsi="宋体" w:cs="Arial" w:hint="eastAsia"/>
          <w:b/>
          <w:sz w:val="32"/>
          <w:szCs w:val="32"/>
        </w:rPr>
        <w:t>”、累计同比“全面下降”。</w:t>
      </w:r>
    </w:p>
    <w:tbl>
      <w:tblPr>
        <w:tblpPr w:leftFromText="180" w:rightFromText="180" w:vertAnchor="text" w:horzAnchor="page" w:tblpX="1765" w:tblpY="14"/>
        <w:tblOverlap w:val="never"/>
        <w:tblW w:w="87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/>
      </w:tblPr>
      <w:tblGrid>
        <w:gridCol w:w="648"/>
        <w:gridCol w:w="2155"/>
        <w:gridCol w:w="1295"/>
        <w:gridCol w:w="1363"/>
        <w:gridCol w:w="1247"/>
        <w:gridCol w:w="2046"/>
      </w:tblGrid>
      <w:tr w:rsidR="00F50280">
        <w:trPr>
          <w:trHeight w:val="583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50280" w:rsidRDefault="00F5028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统计期</w:t>
            </w:r>
          </w:p>
        </w:tc>
        <w:tc>
          <w:tcPr>
            <w:tcW w:w="129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事故件数</w:t>
            </w:r>
          </w:p>
        </w:tc>
        <w:tc>
          <w:tcPr>
            <w:tcW w:w="136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死亡失踪</w:t>
            </w:r>
          </w:p>
        </w:tc>
        <w:tc>
          <w:tcPr>
            <w:tcW w:w="124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沉船艘数</w:t>
            </w:r>
          </w:p>
        </w:tc>
        <w:tc>
          <w:tcPr>
            <w:tcW w:w="2046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经济损失(万元)</w:t>
            </w:r>
          </w:p>
        </w:tc>
      </w:tr>
      <w:tr w:rsidR="003B0B57">
        <w:trPr>
          <w:cantSplit/>
          <w:trHeight w:val="514"/>
        </w:trPr>
        <w:tc>
          <w:tcPr>
            <w:tcW w:w="648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一般等级及以上事故</w:t>
            </w:r>
          </w:p>
          <w:p w:rsidR="003B0B57" w:rsidRDefault="003B0B57" w:rsidP="003B0B5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Default="003B0B57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</w:t>
            </w:r>
            <w:r w:rsidR="003B25D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月份</w:t>
            </w:r>
          </w:p>
        </w:tc>
        <w:tc>
          <w:tcPr>
            <w:tcW w:w="1295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363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47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046" w:type="dxa"/>
            <w:tcBorders>
              <w:left w:val="single" w:sz="6" w:space="0" w:color="auto"/>
              <w:bottom w:val="inset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3B0B57">
        <w:trPr>
          <w:cantSplit/>
          <w:trHeight w:val="444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Default="003B0B57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2018年1</w:t>
            </w:r>
            <w:r w:rsidR="003B25D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月份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inset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3B0B57">
        <w:trPr>
          <w:cantSplit/>
          <w:trHeight w:val="444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  比（%）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</w:tr>
      <w:tr w:rsidR="003B25D4">
        <w:trPr>
          <w:cantSplit/>
          <w:trHeight w:val="435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2019年10月份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150</w:t>
            </w:r>
          </w:p>
        </w:tc>
      </w:tr>
      <w:tr w:rsidR="003B0B57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环 比（%）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0:2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0:8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0:2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B57" w:rsidRPr="003B0B57" w:rsidRDefault="003B25D4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0:150</w:t>
            </w:r>
          </w:p>
        </w:tc>
      </w:tr>
      <w:tr w:rsidR="003B0B57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Default="003B0B57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2019年1-1</w:t>
            </w:r>
            <w:r w:rsidR="003B25D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45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4856.35</w:t>
            </w:r>
          </w:p>
        </w:tc>
      </w:tr>
      <w:tr w:rsidR="003B0B57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Default="003B0B57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2018年1-1</w:t>
            </w:r>
            <w:r w:rsidR="003B25D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51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7085.65</w:t>
            </w:r>
          </w:p>
        </w:tc>
      </w:tr>
      <w:tr w:rsidR="003B0B57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累计同比（%）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-26.7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-11.8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-25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-31.5</w:t>
            </w:r>
          </w:p>
        </w:tc>
      </w:tr>
    </w:tbl>
    <w:p w:rsidR="00F50280" w:rsidRDefault="00F4361A">
      <w:pPr>
        <w:spacing w:line="360" w:lineRule="auto"/>
        <w:ind w:firstLineChars="98" w:firstLine="315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 xml:space="preserve">  (二）运输船舶一般等级及以上事故四项指标同比“</w:t>
      </w:r>
      <w:r w:rsidR="003B25D4">
        <w:rPr>
          <w:rFonts w:ascii="仿宋_GB2312" w:eastAsia="仿宋_GB2312" w:hAnsi="宋体" w:cs="Arial" w:hint="eastAsia"/>
          <w:b/>
          <w:sz w:val="32"/>
          <w:szCs w:val="32"/>
        </w:rPr>
        <w:t>持平</w:t>
      </w:r>
      <w:r>
        <w:rPr>
          <w:rFonts w:ascii="仿宋_GB2312" w:eastAsia="仿宋_GB2312" w:hAnsi="宋体" w:cs="Arial" w:hint="eastAsia"/>
          <w:b/>
          <w:sz w:val="32"/>
          <w:szCs w:val="32"/>
        </w:rPr>
        <w:t>”、环比“全面</w:t>
      </w:r>
      <w:r w:rsidR="00D7429C">
        <w:rPr>
          <w:rFonts w:ascii="仿宋_GB2312" w:eastAsia="仿宋_GB2312" w:hAnsi="宋体" w:cs="Arial" w:hint="eastAsia"/>
          <w:b/>
          <w:sz w:val="32"/>
          <w:szCs w:val="32"/>
        </w:rPr>
        <w:t>下降</w:t>
      </w:r>
      <w:r>
        <w:rPr>
          <w:rFonts w:ascii="仿宋_GB2312" w:eastAsia="仿宋_GB2312" w:hAnsi="宋体" w:cs="Arial" w:hint="eastAsia"/>
          <w:b/>
          <w:sz w:val="32"/>
          <w:szCs w:val="32"/>
        </w:rPr>
        <w:t>”、累计同比“</w:t>
      </w:r>
      <w:r w:rsidR="00D7429C">
        <w:rPr>
          <w:rFonts w:ascii="仿宋_GB2312" w:eastAsia="仿宋_GB2312" w:hAnsi="宋体" w:cs="Arial" w:hint="eastAsia"/>
          <w:b/>
          <w:sz w:val="32"/>
          <w:szCs w:val="32"/>
        </w:rPr>
        <w:t>三</w:t>
      </w:r>
      <w:r>
        <w:rPr>
          <w:rFonts w:ascii="仿宋_GB2312" w:eastAsia="仿宋_GB2312" w:hAnsi="宋体" w:cs="Arial" w:hint="eastAsia"/>
          <w:b/>
          <w:sz w:val="32"/>
          <w:szCs w:val="32"/>
        </w:rPr>
        <w:t>降</w:t>
      </w:r>
      <w:r w:rsidR="00D7429C">
        <w:rPr>
          <w:rFonts w:ascii="仿宋_GB2312" w:eastAsia="仿宋_GB2312" w:hAnsi="宋体" w:cs="Arial" w:hint="eastAsia"/>
          <w:b/>
          <w:sz w:val="32"/>
          <w:szCs w:val="32"/>
        </w:rPr>
        <w:t>一升</w:t>
      </w:r>
      <w:r>
        <w:rPr>
          <w:rFonts w:ascii="仿宋_GB2312" w:eastAsia="仿宋_GB2312" w:hAnsi="宋体" w:cs="Arial" w:hint="eastAsia"/>
          <w:b/>
          <w:sz w:val="32"/>
          <w:szCs w:val="32"/>
        </w:rPr>
        <w:t>”。</w:t>
      </w:r>
    </w:p>
    <w:tbl>
      <w:tblPr>
        <w:tblpPr w:leftFromText="180" w:rightFromText="180" w:vertAnchor="text" w:horzAnchor="page" w:tblpX="1634" w:tblpY="190"/>
        <w:tblOverlap w:val="never"/>
        <w:tblW w:w="8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/>
      </w:tblPr>
      <w:tblGrid>
        <w:gridCol w:w="820"/>
        <w:gridCol w:w="2206"/>
        <w:gridCol w:w="1375"/>
        <w:gridCol w:w="1284"/>
        <w:gridCol w:w="1256"/>
        <w:gridCol w:w="2035"/>
      </w:tblGrid>
      <w:tr w:rsidR="00F50280">
        <w:trPr>
          <w:trHeight w:val="408"/>
        </w:trPr>
        <w:tc>
          <w:tcPr>
            <w:tcW w:w="820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50280" w:rsidRDefault="00F5028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统计期</w:t>
            </w:r>
          </w:p>
        </w:tc>
        <w:tc>
          <w:tcPr>
            <w:tcW w:w="137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事故件数</w:t>
            </w:r>
          </w:p>
        </w:tc>
        <w:tc>
          <w:tcPr>
            <w:tcW w:w="128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死亡失踪</w:t>
            </w:r>
          </w:p>
        </w:tc>
        <w:tc>
          <w:tcPr>
            <w:tcW w:w="125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沉船艘数</w:t>
            </w:r>
          </w:p>
        </w:tc>
        <w:tc>
          <w:tcPr>
            <w:tcW w:w="203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经济损失(万元)</w:t>
            </w:r>
          </w:p>
        </w:tc>
      </w:tr>
      <w:tr w:rsidR="003B25D4">
        <w:trPr>
          <w:cantSplit/>
          <w:trHeight w:val="372"/>
        </w:trPr>
        <w:tc>
          <w:tcPr>
            <w:tcW w:w="820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运输船舶事故</w:t>
            </w:r>
          </w:p>
        </w:tc>
        <w:tc>
          <w:tcPr>
            <w:tcW w:w="2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2019年11月份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03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3B25D4">
        <w:trPr>
          <w:cantSplit/>
          <w:trHeight w:val="345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2018年11月份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3B25D4">
        <w:trPr>
          <w:cantSplit/>
          <w:trHeight w:val="345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  比（%）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</w:tr>
      <w:tr w:rsidR="003B25D4">
        <w:trPr>
          <w:cantSplit/>
          <w:trHeight w:val="345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2019年10月份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150</w:t>
            </w:r>
          </w:p>
        </w:tc>
      </w:tr>
      <w:tr w:rsidR="003B25D4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5D4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环 比（%）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25D4" w:rsidRPr="003B0B57" w:rsidRDefault="003B25D4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0:150</w:t>
            </w:r>
          </w:p>
        </w:tc>
      </w:tr>
      <w:tr w:rsidR="003B0B57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57" w:rsidRDefault="003B0B57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2019年1-1</w:t>
            </w:r>
            <w:r w:rsidR="003B25D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4546.35</w:t>
            </w:r>
          </w:p>
        </w:tc>
      </w:tr>
      <w:tr w:rsidR="003B0B57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57" w:rsidRDefault="003B0B57" w:rsidP="003B25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2018年1-1</w:t>
            </w:r>
            <w:r w:rsidR="003B25D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6255.65</w:t>
            </w:r>
          </w:p>
        </w:tc>
      </w:tr>
      <w:tr w:rsidR="003B0B57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累计同比（%）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-21.7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+15.4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-20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B57" w:rsidRPr="003B0B57" w:rsidRDefault="003B0B57" w:rsidP="003B0B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0B57">
              <w:rPr>
                <w:rFonts w:ascii="宋体" w:hAnsi="宋体" w:hint="eastAsia"/>
                <w:bCs/>
                <w:szCs w:val="21"/>
              </w:rPr>
              <w:t>-27.3</w:t>
            </w:r>
          </w:p>
        </w:tc>
      </w:tr>
    </w:tbl>
    <w:p w:rsidR="00F50280" w:rsidRDefault="00F4361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（三）辖区死亡失踪3人及以上较大、重特大事故</w:t>
      </w:r>
    </w:p>
    <w:p w:rsidR="00F50280" w:rsidRDefault="00D742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B25D4">
        <w:rPr>
          <w:rFonts w:ascii="仿宋_GB2312" w:eastAsia="仿宋_GB2312" w:hint="eastAsia"/>
          <w:sz w:val="32"/>
          <w:szCs w:val="32"/>
        </w:rPr>
        <w:t>1</w:t>
      </w:r>
      <w:r w:rsidR="00F4361A">
        <w:rPr>
          <w:rFonts w:ascii="仿宋_GB2312" w:eastAsia="仿宋_GB2312" w:hint="eastAsia"/>
          <w:sz w:val="32"/>
          <w:szCs w:val="32"/>
        </w:rPr>
        <w:t>月份，我局辖区</w:t>
      </w:r>
      <w:r w:rsidR="003B25D4">
        <w:rPr>
          <w:rFonts w:ascii="仿宋_GB2312" w:eastAsia="仿宋_GB2312" w:hint="eastAsia"/>
          <w:sz w:val="32"/>
          <w:szCs w:val="32"/>
        </w:rPr>
        <w:t>未</w:t>
      </w:r>
      <w:r w:rsidR="00F4361A">
        <w:rPr>
          <w:rFonts w:ascii="仿宋_GB2312" w:eastAsia="仿宋_GB2312" w:hint="eastAsia"/>
          <w:sz w:val="32"/>
          <w:szCs w:val="32"/>
        </w:rPr>
        <w:t>发生死亡失踪3人及以上水上交通事故。</w:t>
      </w:r>
    </w:p>
    <w:p w:rsidR="00F50280" w:rsidRDefault="00F4361A" w:rsidP="002B71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 w:rsidR="00D7429C">
        <w:rPr>
          <w:rFonts w:ascii="仿宋_GB2312" w:eastAsia="仿宋_GB2312" w:hint="eastAsia"/>
          <w:sz w:val="32"/>
          <w:szCs w:val="32"/>
        </w:rPr>
        <w:t>1</w:t>
      </w:r>
      <w:r w:rsidR="003B25D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月份，我局辖区发生死亡失踪3人及以上水上交通事故</w:t>
      </w:r>
      <w:r w:rsidR="00D7429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件，其中较大等级商渔船碰撞事故4件、商船之间碰撞事故</w:t>
      </w:r>
      <w:r w:rsidR="00D7429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件</w:t>
      </w:r>
      <w:r w:rsidR="00D7429C">
        <w:rPr>
          <w:rFonts w:ascii="仿宋_GB2312" w:eastAsia="仿宋_GB2312" w:hint="eastAsia"/>
          <w:sz w:val="32"/>
          <w:szCs w:val="32"/>
        </w:rPr>
        <w:t>、触碰事故1件</w:t>
      </w:r>
      <w:r>
        <w:rPr>
          <w:rFonts w:ascii="仿宋_GB2312" w:eastAsia="仿宋_GB2312" w:hint="eastAsia"/>
          <w:sz w:val="32"/>
          <w:szCs w:val="32"/>
        </w:rPr>
        <w:t>；死亡失踪</w:t>
      </w:r>
      <w:r w:rsidR="00D7429C">
        <w:rPr>
          <w:rFonts w:ascii="仿宋_GB2312" w:eastAsia="仿宋_GB2312" w:hint="eastAsia"/>
          <w:sz w:val="32"/>
          <w:szCs w:val="32"/>
        </w:rPr>
        <w:t>34</w:t>
      </w:r>
      <w:r>
        <w:rPr>
          <w:rFonts w:ascii="仿宋_GB2312" w:eastAsia="仿宋_GB2312" w:hint="eastAsia"/>
          <w:sz w:val="32"/>
          <w:szCs w:val="32"/>
        </w:rPr>
        <w:t>人，其中商船人员死亡失踪</w:t>
      </w:r>
      <w:r w:rsidR="00D7429C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人、渔船人员死亡失踪10人。</w:t>
      </w:r>
    </w:p>
    <w:p w:rsidR="00F50280" w:rsidRDefault="00F436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（四）</w:t>
      </w:r>
      <w:r>
        <w:rPr>
          <w:rFonts w:ascii="仿宋_GB2312" w:eastAsia="仿宋_GB2312" w:hAnsi="宋体" w:cs="Arial" w:hint="eastAsia"/>
          <w:b/>
          <w:sz w:val="32"/>
          <w:szCs w:val="32"/>
        </w:rPr>
        <w:t>各分支局辖区事故分布统计</w:t>
      </w:r>
    </w:p>
    <w:p w:rsidR="00F50280" w:rsidRDefault="00D7429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E814B3">
        <w:rPr>
          <w:rFonts w:ascii="仿宋_GB2312" w:eastAsia="仿宋_GB2312" w:hint="eastAsia"/>
          <w:sz w:val="32"/>
          <w:szCs w:val="32"/>
        </w:rPr>
        <w:t>1</w:t>
      </w:r>
      <w:r w:rsidR="00F4361A">
        <w:rPr>
          <w:rFonts w:ascii="仿宋_GB2312" w:eastAsia="仿宋_GB2312" w:hint="eastAsia"/>
          <w:sz w:val="32"/>
          <w:szCs w:val="32"/>
        </w:rPr>
        <w:t>月份</w:t>
      </w:r>
      <w:r w:rsidR="00E814B3">
        <w:rPr>
          <w:rFonts w:ascii="仿宋_GB2312" w:eastAsia="仿宋_GB2312" w:hint="eastAsia"/>
          <w:sz w:val="32"/>
          <w:szCs w:val="32"/>
        </w:rPr>
        <w:t>各分支局均未</w:t>
      </w:r>
      <w:r w:rsidR="00F4361A">
        <w:rPr>
          <w:rFonts w:ascii="仿宋_GB2312" w:eastAsia="仿宋_GB2312" w:hint="eastAsia"/>
          <w:sz w:val="32"/>
          <w:szCs w:val="32"/>
        </w:rPr>
        <w:t>发生一般等级及以上事故</w:t>
      </w:r>
      <w:r w:rsidR="00F4361A">
        <w:rPr>
          <w:rFonts w:ascii="仿宋_GB2312" w:eastAsia="仿宋_GB2312" w:hAnsi="宋体" w:hint="eastAsia"/>
          <w:sz w:val="32"/>
          <w:szCs w:val="32"/>
        </w:rPr>
        <w:t>。</w:t>
      </w:r>
      <w:r w:rsidR="00E814B3">
        <w:rPr>
          <w:rFonts w:ascii="仿宋_GB2312" w:eastAsia="仿宋_GB2312" w:hAnsi="宋体" w:hint="eastAsia"/>
          <w:sz w:val="32"/>
          <w:szCs w:val="32"/>
        </w:rPr>
        <w:t>去年同期</w:t>
      </w:r>
      <w:r w:rsidR="00E814B3">
        <w:rPr>
          <w:rFonts w:ascii="仿宋_GB2312" w:eastAsia="仿宋_GB2312" w:hint="eastAsia"/>
          <w:sz w:val="32"/>
          <w:szCs w:val="32"/>
        </w:rPr>
        <w:t>各分支局也未发生一般等级及以上事故</w:t>
      </w:r>
      <w:r w:rsidR="00E814B3">
        <w:rPr>
          <w:rFonts w:ascii="仿宋_GB2312" w:eastAsia="仿宋_GB2312" w:hAnsi="宋体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="1380" w:tblpY="207"/>
        <w:tblOverlap w:val="never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733"/>
        <w:gridCol w:w="677"/>
        <w:gridCol w:w="560"/>
        <w:gridCol w:w="705"/>
        <w:gridCol w:w="705"/>
        <w:gridCol w:w="640"/>
        <w:gridCol w:w="596"/>
        <w:gridCol w:w="882"/>
        <w:gridCol w:w="882"/>
        <w:gridCol w:w="798"/>
        <w:gridCol w:w="787"/>
        <w:gridCol w:w="932"/>
      </w:tblGrid>
      <w:tr w:rsidR="00F50280">
        <w:trPr>
          <w:trHeight w:val="344"/>
        </w:trPr>
        <w:tc>
          <w:tcPr>
            <w:tcW w:w="783" w:type="dxa"/>
            <w:vMerge w:val="restart"/>
            <w:shd w:val="clear" w:color="auto" w:fill="auto"/>
            <w:vAlign w:val="center"/>
          </w:tcPr>
          <w:p w:rsidR="00F50280" w:rsidRDefault="00F5028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F4361A" w:rsidP="00E814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</w:t>
            </w:r>
            <w:r w:rsidR="00BB55CB">
              <w:rPr>
                <w:rFonts w:ascii="宋体" w:hAnsi="宋体" w:hint="eastAsia"/>
                <w:szCs w:val="21"/>
              </w:rPr>
              <w:t>1</w:t>
            </w:r>
            <w:r w:rsidR="00E814B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月事故四项指标</w:t>
            </w:r>
          </w:p>
        </w:tc>
        <w:tc>
          <w:tcPr>
            <w:tcW w:w="282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 w:rsidP="00E814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</w:t>
            </w:r>
            <w:r w:rsidR="00BB55CB">
              <w:rPr>
                <w:rFonts w:ascii="宋体" w:hAnsi="宋体" w:hint="eastAsia"/>
                <w:szCs w:val="21"/>
              </w:rPr>
              <w:t>1</w:t>
            </w:r>
            <w:r w:rsidR="00E814B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月故四项指标</w:t>
            </w:r>
          </w:p>
        </w:tc>
        <w:tc>
          <w:tcPr>
            <w:tcW w:w="3399" w:type="dxa"/>
            <w:gridSpan w:val="4"/>
            <w:tcBorders>
              <w:left w:val="double" w:sz="4" w:space="0" w:color="auto"/>
            </w:tcBorders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同比（%）</w:t>
            </w:r>
          </w:p>
        </w:tc>
      </w:tr>
      <w:tr w:rsidR="00F50280">
        <w:trPr>
          <w:trHeight w:hRule="exact" w:val="443"/>
        </w:trPr>
        <w:tc>
          <w:tcPr>
            <w:tcW w:w="783" w:type="dxa"/>
            <w:vMerge/>
            <w:shd w:val="clear" w:color="auto" w:fill="auto"/>
            <w:vAlign w:val="center"/>
          </w:tcPr>
          <w:p w:rsidR="00F50280" w:rsidRDefault="00F5028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经济损失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</w:tr>
      <w:tr w:rsidR="00E814B3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E814B3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舟山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E814B3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E814B3" w:rsidRDefault="00E814B3" w:rsidP="00E814B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BB55CB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BB55CB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嘉兴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BB55CB">
        <w:trPr>
          <w:trHeight w:val="371"/>
        </w:trPr>
        <w:tc>
          <w:tcPr>
            <w:tcW w:w="783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BB55CB" w:rsidRDefault="00BB55CB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</w:tbl>
    <w:p w:rsidR="00F50280" w:rsidRDefault="00F4361A">
      <w:pPr>
        <w:spacing w:line="600" w:lineRule="exact"/>
        <w:ind w:firstLineChars="200" w:firstLine="640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2）</w:t>
      </w:r>
      <w:r>
        <w:rPr>
          <w:rFonts w:ascii="仿宋_GB2312" w:eastAsia="仿宋_GB2312" w:hint="eastAsia"/>
          <w:sz w:val="32"/>
          <w:szCs w:val="32"/>
        </w:rPr>
        <w:t>1-</w:t>
      </w:r>
      <w:r w:rsidR="00BB55CB">
        <w:rPr>
          <w:rFonts w:ascii="仿宋_GB2312" w:eastAsia="仿宋_GB2312" w:hint="eastAsia"/>
          <w:sz w:val="32"/>
          <w:szCs w:val="32"/>
        </w:rPr>
        <w:t>1</w:t>
      </w:r>
      <w:r w:rsidR="00E814B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月份累计：宁波局辖区发生一般等级及以上事故</w:t>
      </w:r>
      <w:r w:rsidR="00BB55CB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件（较大等级事故</w:t>
      </w:r>
      <w:r w:rsidR="00BB55C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件、一般等级事故3件）、死亡失踪1</w:t>
      </w:r>
      <w:r w:rsidR="00BB55CB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人、沉船</w:t>
      </w:r>
      <w:r w:rsidR="00BB55C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艘、直接经济损失约1</w:t>
      </w:r>
      <w:r w:rsidR="00BB55CB">
        <w:rPr>
          <w:rFonts w:ascii="仿宋_GB2312" w:eastAsia="仿宋_GB2312" w:hint="eastAsia"/>
          <w:sz w:val="32"/>
          <w:szCs w:val="32"/>
        </w:rPr>
        <w:t>53</w:t>
      </w:r>
      <w:r>
        <w:rPr>
          <w:rFonts w:ascii="仿宋_GB2312" w:eastAsia="仿宋_GB2312" w:hint="eastAsia"/>
          <w:sz w:val="32"/>
          <w:szCs w:val="32"/>
        </w:rPr>
        <w:t>1.35万元；舟山局辖区发生一般等级及以上事故10件（较大等级事故2件、一般等级事故8件）、死亡失踪18人、沉船7艘、直接经济损失约2912万元；温州局辖区发生一般等级及以上事故</w:t>
      </w:r>
      <w:r w:rsidR="00BB55C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lastRenderedPageBreak/>
        <w:t>件</w:t>
      </w:r>
      <w:r w:rsidR="00BB55CB">
        <w:rPr>
          <w:rFonts w:ascii="仿宋_GB2312" w:eastAsia="仿宋_GB2312" w:hint="eastAsia"/>
          <w:sz w:val="32"/>
          <w:szCs w:val="32"/>
        </w:rPr>
        <w:t>（较大等级事故1件、一般等级事故2件）</w:t>
      </w:r>
      <w:r>
        <w:rPr>
          <w:rFonts w:ascii="仿宋_GB2312" w:eastAsia="仿宋_GB2312" w:hint="eastAsia"/>
          <w:sz w:val="32"/>
          <w:szCs w:val="32"/>
        </w:rPr>
        <w:t>、死亡失踪</w:t>
      </w:r>
      <w:r w:rsidR="00BB55CB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人、沉船</w:t>
      </w:r>
      <w:r w:rsidR="00BB55C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艘、直接经济损失</w:t>
      </w:r>
      <w:r w:rsidR="00BB55CB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3万元；台州局辖区发生一般等级事故2件、死亡失踪1人、无船舶沉没、直接经济损失约310万元；嘉兴和杭州局辖区未发生一般等级及以上事故。</w:t>
      </w:r>
    </w:p>
    <w:tbl>
      <w:tblPr>
        <w:tblpPr w:leftFromText="180" w:rightFromText="180" w:vertAnchor="text" w:horzAnchor="page" w:tblpX="1380" w:tblpY="207"/>
        <w:tblOverlap w:val="never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733"/>
        <w:gridCol w:w="677"/>
        <w:gridCol w:w="560"/>
        <w:gridCol w:w="757"/>
        <w:gridCol w:w="653"/>
        <w:gridCol w:w="640"/>
        <w:gridCol w:w="596"/>
        <w:gridCol w:w="882"/>
        <w:gridCol w:w="882"/>
        <w:gridCol w:w="798"/>
        <w:gridCol w:w="787"/>
        <w:gridCol w:w="932"/>
      </w:tblGrid>
      <w:tr w:rsidR="00F50280">
        <w:trPr>
          <w:trHeight w:val="344"/>
        </w:trPr>
        <w:tc>
          <w:tcPr>
            <w:tcW w:w="783" w:type="dxa"/>
            <w:vMerge w:val="restart"/>
            <w:shd w:val="clear" w:color="auto" w:fill="auto"/>
            <w:vAlign w:val="center"/>
          </w:tcPr>
          <w:p w:rsidR="00F50280" w:rsidRDefault="00F5028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2019年1-</w:t>
            </w:r>
            <w:r w:rsidR="00BB55CB">
              <w:rPr>
                <w:rFonts w:ascii="宋体" w:hAnsi="宋体" w:hint="eastAsia"/>
                <w:szCs w:val="21"/>
              </w:rPr>
              <w:t>1</w:t>
            </w:r>
            <w:r w:rsidR="00E814B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事故四项指标</w:t>
            </w:r>
          </w:p>
        </w:tc>
        <w:tc>
          <w:tcPr>
            <w:tcW w:w="277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2018年1-</w:t>
            </w:r>
            <w:r w:rsidR="00BB55CB">
              <w:rPr>
                <w:rFonts w:ascii="宋体" w:hAnsi="宋体" w:hint="eastAsia"/>
                <w:szCs w:val="21"/>
              </w:rPr>
              <w:t>1</w:t>
            </w:r>
            <w:r w:rsidR="00E814B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事故四项指标</w:t>
            </w:r>
          </w:p>
        </w:tc>
        <w:tc>
          <w:tcPr>
            <w:tcW w:w="3399" w:type="dxa"/>
            <w:gridSpan w:val="4"/>
            <w:tcBorders>
              <w:left w:val="double" w:sz="4" w:space="0" w:color="auto"/>
            </w:tcBorders>
            <w:vAlign w:val="center"/>
          </w:tcPr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同比（%）</w:t>
            </w:r>
          </w:p>
        </w:tc>
      </w:tr>
      <w:tr w:rsidR="00F50280">
        <w:trPr>
          <w:trHeight w:hRule="exact" w:val="443"/>
        </w:trPr>
        <w:tc>
          <w:tcPr>
            <w:tcW w:w="783" w:type="dxa"/>
            <w:vMerge/>
            <w:shd w:val="clear" w:color="auto" w:fill="auto"/>
            <w:vAlign w:val="center"/>
          </w:tcPr>
          <w:p w:rsidR="00F50280" w:rsidRDefault="00F5028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经济损失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F50280" w:rsidRDefault="00F4361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</w:tr>
      <w:tr w:rsidR="00F50280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</w:t>
            </w:r>
          </w:p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0280" w:rsidRDefault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50280" w:rsidRDefault="00BB55CB" w:rsidP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50280" w:rsidRDefault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F4361A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="00BB55CB">
              <w:rPr>
                <w:rFonts w:ascii="宋体" w:hAnsi="宋体" w:hint="eastAsia"/>
                <w:b/>
                <w:sz w:val="18"/>
                <w:szCs w:val="18"/>
              </w:rPr>
              <w:t>53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1.35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1198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F50280" w:rsidRDefault="00F4361A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</w:t>
            </w:r>
            <w:r w:rsidR="00BB55CB">
              <w:rPr>
                <w:rFonts w:ascii="宋体" w:hAnsi="宋体" w:hint="eastAsia"/>
                <w:b/>
                <w:szCs w:val="21"/>
              </w:rPr>
              <w:t>40</w:t>
            </w:r>
          </w:p>
        </w:tc>
        <w:tc>
          <w:tcPr>
            <w:tcW w:w="798" w:type="dxa"/>
            <w:vAlign w:val="center"/>
          </w:tcPr>
          <w:p w:rsidR="00F50280" w:rsidRDefault="00F4361A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</w:t>
            </w:r>
            <w:r w:rsidR="00BB55CB">
              <w:rPr>
                <w:rFonts w:ascii="宋体" w:hAnsi="宋体" w:hint="eastAsia"/>
                <w:b/>
                <w:szCs w:val="21"/>
              </w:rPr>
              <w:t>46.2</w:t>
            </w:r>
          </w:p>
        </w:tc>
        <w:tc>
          <w:tcPr>
            <w:tcW w:w="787" w:type="dxa"/>
            <w:vAlign w:val="center"/>
          </w:tcPr>
          <w:p w:rsidR="00F50280" w:rsidRDefault="00F4361A" w:rsidP="00BB55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</w:t>
            </w:r>
            <w:r w:rsidR="00BB55CB">
              <w:rPr>
                <w:rFonts w:ascii="宋体" w:hAnsi="宋体" w:hint="eastAsia"/>
                <w:b/>
                <w:szCs w:val="21"/>
              </w:rPr>
              <w:t>66.7</w:t>
            </w:r>
          </w:p>
        </w:tc>
        <w:tc>
          <w:tcPr>
            <w:tcW w:w="932" w:type="dxa"/>
            <w:vAlign w:val="center"/>
          </w:tcPr>
          <w:p w:rsidR="00F50280" w:rsidRDefault="00F4361A" w:rsidP="00BB55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+</w:t>
            </w:r>
            <w:r w:rsidR="00BB55CB">
              <w:rPr>
                <w:rFonts w:ascii="宋体" w:hAnsi="宋体" w:hint="eastAsia"/>
                <w:b/>
                <w:szCs w:val="21"/>
              </w:rPr>
              <w:t>27.8</w:t>
            </w:r>
          </w:p>
        </w:tc>
      </w:tr>
      <w:tr w:rsidR="00F50280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舟山</w:t>
            </w:r>
          </w:p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2912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50280" w:rsidRDefault="00F4361A" w:rsidP="00BB5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BB55CB">
              <w:rPr>
                <w:rFonts w:hint="eastAsia"/>
                <w:b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F50280" w:rsidRDefault="00BB5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 w:rsidP="00BB5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BB55CB">
              <w:rPr>
                <w:rFonts w:hint="eastAsia"/>
                <w:b/>
              </w:rPr>
              <w:t>36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F50280" w:rsidRDefault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-9.1</w:t>
            </w:r>
          </w:p>
        </w:tc>
        <w:tc>
          <w:tcPr>
            <w:tcW w:w="798" w:type="dxa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+12.5</w:t>
            </w:r>
          </w:p>
        </w:tc>
        <w:tc>
          <w:tcPr>
            <w:tcW w:w="787" w:type="dxa"/>
            <w:vAlign w:val="center"/>
          </w:tcPr>
          <w:p w:rsidR="00F50280" w:rsidRDefault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-12.5</w:t>
            </w:r>
          </w:p>
        </w:tc>
        <w:tc>
          <w:tcPr>
            <w:tcW w:w="932" w:type="dxa"/>
            <w:vAlign w:val="center"/>
          </w:tcPr>
          <w:p w:rsidR="00F50280" w:rsidRDefault="00F4361A" w:rsidP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  <w:r w:rsidR="00BB55CB">
              <w:rPr>
                <w:rFonts w:ascii="宋体" w:hAnsi="宋体" w:hint="eastAsia"/>
                <w:b/>
                <w:szCs w:val="21"/>
              </w:rPr>
              <w:t>13.4</w:t>
            </w:r>
          </w:p>
        </w:tc>
      </w:tr>
      <w:tr w:rsidR="00F50280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</w:t>
            </w:r>
          </w:p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0280" w:rsidRDefault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50280" w:rsidRDefault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50280" w:rsidRDefault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  <w:r w:rsidR="00F4361A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16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1430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F50280" w:rsidRDefault="00F4361A" w:rsidP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  <w:r w:rsidR="00BB55CB">
              <w:rPr>
                <w:rFonts w:ascii="宋体" w:hAnsi="宋体" w:hint="eastAsia"/>
                <w:b/>
                <w:szCs w:val="21"/>
              </w:rPr>
              <w:t>66.7</w:t>
            </w:r>
          </w:p>
        </w:tc>
        <w:tc>
          <w:tcPr>
            <w:tcW w:w="798" w:type="dxa"/>
            <w:vAlign w:val="center"/>
          </w:tcPr>
          <w:p w:rsidR="00F50280" w:rsidRDefault="00F4361A" w:rsidP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  <w:r w:rsidR="00BB55CB">
              <w:rPr>
                <w:rFonts w:ascii="宋体" w:hAnsi="宋体" w:hint="eastAsia"/>
                <w:b/>
                <w:szCs w:val="21"/>
              </w:rPr>
              <w:t>56.3</w:t>
            </w:r>
          </w:p>
        </w:tc>
        <w:tc>
          <w:tcPr>
            <w:tcW w:w="787" w:type="dxa"/>
            <w:vAlign w:val="center"/>
          </w:tcPr>
          <w:p w:rsidR="00F50280" w:rsidRDefault="00F4361A" w:rsidP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  <w:r w:rsidR="00BB55CB"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932" w:type="dxa"/>
            <w:vAlign w:val="center"/>
          </w:tcPr>
          <w:p w:rsidR="00F50280" w:rsidRDefault="00F4361A" w:rsidP="00BB55C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  <w:r w:rsidR="00BB55CB">
              <w:rPr>
                <w:rFonts w:ascii="宋体" w:hAnsi="宋体" w:hint="eastAsia"/>
                <w:b/>
                <w:szCs w:val="21"/>
              </w:rPr>
              <w:t>92.8</w:t>
            </w:r>
          </w:p>
        </w:tc>
      </w:tr>
      <w:tr w:rsidR="00F50280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</w:t>
            </w:r>
          </w:p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310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270.65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-33.3</w:t>
            </w:r>
          </w:p>
        </w:tc>
        <w:tc>
          <w:tcPr>
            <w:tcW w:w="798" w:type="dxa"/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-83.3</w:t>
            </w:r>
          </w:p>
        </w:tc>
        <w:tc>
          <w:tcPr>
            <w:tcW w:w="787" w:type="dxa"/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0:2</w:t>
            </w:r>
          </w:p>
        </w:tc>
        <w:tc>
          <w:tcPr>
            <w:tcW w:w="932" w:type="dxa"/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+14.5</w:t>
            </w:r>
          </w:p>
        </w:tc>
      </w:tr>
      <w:tr w:rsidR="00F50280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嘉兴</w:t>
            </w:r>
          </w:p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711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0:711</w:t>
            </w:r>
          </w:p>
        </w:tc>
      </w:tr>
      <w:tr w:rsidR="00F50280">
        <w:trPr>
          <w:trHeight w:val="371"/>
        </w:trPr>
        <w:tc>
          <w:tcPr>
            <w:tcW w:w="783" w:type="dxa"/>
            <w:shd w:val="clear" w:color="auto" w:fill="auto"/>
            <w:vAlign w:val="center"/>
          </w:tcPr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</w:t>
            </w:r>
          </w:p>
          <w:p w:rsidR="00F50280" w:rsidRDefault="00F436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115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F50280" w:rsidRDefault="00F4361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0:115</w:t>
            </w:r>
          </w:p>
        </w:tc>
      </w:tr>
    </w:tbl>
    <w:p w:rsidR="00F50280" w:rsidRDefault="00F4361A">
      <w:pPr>
        <w:spacing w:line="600" w:lineRule="exact"/>
        <w:ind w:firstLineChars="200" w:firstLine="643"/>
        <w:rPr>
          <w:rFonts w:ascii="宋体" w:hAnsi="宋体" w:cs="Arial"/>
          <w:b/>
          <w:sz w:val="30"/>
          <w:szCs w:val="30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</w:t>
      </w:r>
      <w:r w:rsidR="002B717B">
        <w:rPr>
          <w:rFonts w:ascii="仿宋_GB2312" w:eastAsia="仿宋_GB2312" w:hAnsi="宋体" w:cs="Arial" w:hint="eastAsia"/>
          <w:b/>
          <w:sz w:val="32"/>
          <w:szCs w:val="32"/>
        </w:rPr>
        <w:t>五</w:t>
      </w:r>
      <w:r>
        <w:rPr>
          <w:rFonts w:ascii="仿宋_GB2312" w:eastAsia="仿宋_GB2312" w:hAnsi="宋体" w:cs="Arial" w:hint="eastAsia"/>
          <w:b/>
          <w:sz w:val="32"/>
          <w:szCs w:val="32"/>
        </w:rPr>
        <w:t>）运输船船籍港统计</w:t>
      </w:r>
    </w:p>
    <w:p w:rsidR="00F50280" w:rsidRDefault="00F4361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</w:t>
      </w:r>
      <w:r w:rsidR="00E814B3">
        <w:rPr>
          <w:rFonts w:ascii="仿宋_GB2312" w:eastAsia="仿宋_GB2312" w:hint="eastAsia"/>
          <w:sz w:val="32"/>
          <w:szCs w:val="32"/>
        </w:rPr>
        <w:t>辖区无</w:t>
      </w:r>
      <w:r>
        <w:rPr>
          <w:rFonts w:ascii="仿宋_GB2312" w:eastAsia="仿宋_GB2312" w:hint="eastAsia"/>
          <w:sz w:val="32"/>
          <w:szCs w:val="32"/>
        </w:rPr>
        <w:t>运输船发生一般等级及以上事故。</w:t>
      </w:r>
    </w:p>
    <w:tbl>
      <w:tblPr>
        <w:tblpPr w:leftFromText="180" w:rightFromText="180" w:vertAnchor="text" w:horzAnchor="page" w:tblpX="1480" w:tblpY="214"/>
        <w:tblOverlap w:val="never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88"/>
        <w:gridCol w:w="1023"/>
        <w:gridCol w:w="985"/>
        <w:gridCol w:w="1012"/>
        <w:gridCol w:w="1021"/>
        <w:gridCol w:w="998"/>
        <w:gridCol w:w="1035"/>
        <w:gridCol w:w="926"/>
        <w:gridCol w:w="909"/>
      </w:tblGrid>
      <w:tr w:rsidR="00F50280">
        <w:trPr>
          <w:trHeight w:val="5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船籍港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外国籍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外省籍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宁波籍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舟山籍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温州籍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台州籍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嘉兴籍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杭州</w:t>
            </w:r>
          </w:p>
        </w:tc>
      </w:tr>
      <w:tr w:rsidR="00F50280">
        <w:trPr>
          <w:trHeight w:val="60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运输船（艘）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E814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E814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E814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280" w:rsidRDefault="00F436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</w:tbl>
    <w:p w:rsidR="00F50280" w:rsidRDefault="00F4361A">
      <w:pPr>
        <w:spacing w:line="360" w:lineRule="auto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</w:t>
      </w:r>
      <w:r w:rsidR="002B717B">
        <w:rPr>
          <w:rFonts w:ascii="仿宋_GB2312" w:eastAsia="仿宋_GB2312" w:hAnsi="宋体" w:cs="Arial" w:hint="eastAsia"/>
          <w:b/>
          <w:sz w:val="32"/>
          <w:szCs w:val="32"/>
        </w:rPr>
        <w:t>六</w:t>
      </w:r>
      <w:r>
        <w:rPr>
          <w:rFonts w:ascii="仿宋_GB2312" w:eastAsia="仿宋_GB2312" w:hAnsi="宋体" w:cs="Arial" w:hint="eastAsia"/>
          <w:b/>
          <w:sz w:val="32"/>
          <w:szCs w:val="32"/>
        </w:rPr>
        <w:t>）一般等级及以上事故发生地统计</w:t>
      </w:r>
    </w:p>
    <w:p w:rsidR="00F50280" w:rsidRDefault="00F4361A">
      <w:pPr>
        <w:spacing w:line="360" w:lineRule="auto"/>
        <w:ind w:firstLineChars="196" w:firstLine="62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</w:t>
      </w:r>
      <w:r w:rsidR="00E814B3">
        <w:rPr>
          <w:rFonts w:ascii="仿宋_GB2312" w:eastAsia="仿宋_GB2312" w:hint="eastAsia"/>
          <w:sz w:val="32"/>
          <w:szCs w:val="32"/>
        </w:rPr>
        <w:t>辖区未</w:t>
      </w:r>
      <w:r>
        <w:rPr>
          <w:rFonts w:ascii="仿宋_GB2312" w:eastAsia="仿宋_GB2312" w:hint="eastAsia"/>
          <w:sz w:val="32"/>
          <w:szCs w:val="32"/>
        </w:rPr>
        <w:t>发生一般等级及以上事故。</w:t>
      </w:r>
    </w:p>
    <w:tbl>
      <w:tblPr>
        <w:tblpPr w:leftFromText="180" w:rightFromText="180" w:vertAnchor="text" w:horzAnchor="page" w:tblpX="1635" w:tblpY="215"/>
        <w:tblOverlap w:val="never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40"/>
        <w:gridCol w:w="2101"/>
        <w:gridCol w:w="2221"/>
        <w:gridCol w:w="2877"/>
      </w:tblGrid>
      <w:tr w:rsidR="00F50280">
        <w:trPr>
          <w:trHeight w:val="600"/>
        </w:trPr>
        <w:tc>
          <w:tcPr>
            <w:tcW w:w="1840" w:type="dxa"/>
            <w:shd w:val="clear" w:color="auto" w:fill="FFFFFF"/>
            <w:vAlign w:val="center"/>
          </w:tcPr>
          <w:p w:rsidR="00F50280" w:rsidRDefault="00F5028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事故发生在始发港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事故发生在目的港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航经水域</w:t>
            </w:r>
          </w:p>
        </w:tc>
      </w:tr>
      <w:tr w:rsidR="00F50280">
        <w:trPr>
          <w:trHeight w:val="393"/>
        </w:trPr>
        <w:tc>
          <w:tcPr>
            <w:tcW w:w="1840" w:type="dxa"/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宁波辖区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50280" w:rsidRDefault="00E814B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F50280">
        <w:trPr>
          <w:trHeight w:val="393"/>
        </w:trPr>
        <w:tc>
          <w:tcPr>
            <w:tcW w:w="1840" w:type="dxa"/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舟山辖区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F50280" w:rsidRDefault="00BB55C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F50280">
        <w:trPr>
          <w:trHeight w:val="443"/>
        </w:trPr>
        <w:tc>
          <w:tcPr>
            <w:tcW w:w="1840" w:type="dxa"/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温州辖区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50280" w:rsidRDefault="00E814B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F50280">
        <w:trPr>
          <w:trHeight w:val="393"/>
        </w:trPr>
        <w:tc>
          <w:tcPr>
            <w:tcW w:w="1840" w:type="dxa"/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台州辖区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F50280">
        <w:trPr>
          <w:trHeight w:val="467"/>
        </w:trPr>
        <w:tc>
          <w:tcPr>
            <w:tcW w:w="1840" w:type="dxa"/>
            <w:shd w:val="clear" w:color="auto" w:fill="FFFFFF"/>
            <w:vAlign w:val="center"/>
          </w:tcPr>
          <w:p w:rsidR="00F50280" w:rsidRDefault="00F4361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50280" w:rsidRDefault="00E814B3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F50280" w:rsidRDefault="00F4361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F50280" w:rsidRDefault="00BB55CB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</w:tc>
      </w:tr>
    </w:tbl>
    <w:p w:rsidR="00F50280" w:rsidRDefault="00F4361A">
      <w:pPr>
        <w:spacing w:line="600" w:lineRule="exact"/>
        <w:ind w:firstLineChars="198" w:firstLine="596"/>
        <w:rPr>
          <w:rFonts w:ascii="宋体" w:hAnsi="宋体" w:cs="Arial"/>
          <w:b/>
          <w:sz w:val="30"/>
          <w:szCs w:val="30"/>
        </w:rPr>
      </w:pPr>
      <w:r>
        <w:rPr>
          <w:rFonts w:ascii="宋体" w:hAnsi="宋体" w:cs="Arial" w:hint="eastAsia"/>
          <w:b/>
          <w:sz w:val="30"/>
          <w:szCs w:val="30"/>
        </w:rPr>
        <w:lastRenderedPageBreak/>
        <w:t>（</w:t>
      </w:r>
      <w:r w:rsidR="002B717B">
        <w:rPr>
          <w:rFonts w:ascii="仿宋_GB2312" w:eastAsia="仿宋_GB2312" w:hAnsi="宋体" w:cs="Arial" w:hint="eastAsia"/>
          <w:b/>
          <w:sz w:val="32"/>
          <w:szCs w:val="32"/>
        </w:rPr>
        <w:t>七</w:t>
      </w:r>
      <w:r>
        <w:rPr>
          <w:rFonts w:ascii="仿宋_GB2312" w:eastAsia="仿宋_GB2312" w:hAnsi="宋体" w:cs="Arial" w:hint="eastAsia"/>
          <w:b/>
          <w:sz w:val="32"/>
          <w:szCs w:val="32"/>
        </w:rPr>
        <w:t>）一般等级及以上事故等级及种类统计</w:t>
      </w:r>
    </w:p>
    <w:p w:rsidR="00F50280" w:rsidRDefault="00E814B3" w:rsidP="00DB0D9E">
      <w:pPr>
        <w:spacing w:line="600" w:lineRule="exact"/>
        <w:ind w:firstLineChars="198" w:firstLine="634"/>
        <w:rPr>
          <w:rFonts w:ascii="宋体" w:hAnsi="宋体" w:cs="Arial"/>
          <w:b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本月辖区未发生一般等级及以上事故。</w:t>
      </w:r>
    </w:p>
    <w:p w:rsidR="00F50280" w:rsidRDefault="00F4361A">
      <w:pPr>
        <w:spacing w:line="360" w:lineRule="auto"/>
        <w:ind w:firstLineChars="196" w:firstLine="630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</w:t>
      </w:r>
      <w:r w:rsidR="002B717B">
        <w:rPr>
          <w:rFonts w:ascii="仿宋_GB2312" w:eastAsia="仿宋_GB2312" w:hAnsi="宋体" w:cs="Arial" w:hint="eastAsia"/>
          <w:b/>
          <w:sz w:val="32"/>
          <w:szCs w:val="32"/>
        </w:rPr>
        <w:t>八</w:t>
      </w:r>
      <w:r>
        <w:rPr>
          <w:rFonts w:ascii="仿宋_GB2312" w:eastAsia="仿宋_GB2312" w:hAnsi="宋体" w:cs="Arial" w:hint="eastAsia"/>
          <w:b/>
          <w:sz w:val="32"/>
          <w:szCs w:val="32"/>
        </w:rPr>
        <w:t>）涉及人员死亡失踪事故</w:t>
      </w:r>
    </w:p>
    <w:p w:rsidR="0073093B" w:rsidRDefault="00E814B3" w:rsidP="00E814B3">
      <w:pPr>
        <w:spacing w:line="600" w:lineRule="exact"/>
        <w:ind w:firstLineChars="198" w:firstLine="634"/>
      </w:pPr>
      <w:r>
        <w:rPr>
          <w:rFonts w:ascii="仿宋_GB2312" w:eastAsia="仿宋_GB2312" w:hAnsi="仿宋" w:hint="eastAsia"/>
          <w:bCs/>
          <w:sz w:val="32"/>
          <w:szCs w:val="32"/>
        </w:rPr>
        <w:t>无</w:t>
      </w:r>
    </w:p>
    <w:p w:rsidR="00F50280" w:rsidRDefault="00F4361A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二、辖区外水域涉及浙江籍船舶水上交通事故概况</w:t>
      </w:r>
    </w:p>
    <w:p w:rsidR="00F50280" w:rsidRDefault="00F4361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（一）辖区外浙江籍船舶事故基本情况</w:t>
      </w:r>
    </w:p>
    <w:p w:rsidR="00F50280" w:rsidRDefault="009F1EB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917BB">
        <w:rPr>
          <w:rFonts w:ascii="仿宋_GB2312" w:eastAsia="仿宋_GB2312" w:hint="eastAsia"/>
          <w:sz w:val="32"/>
          <w:szCs w:val="32"/>
        </w:rPr>
        <w:t>1</w:t>
      </w:r>
      <w:r w:rsidR="00F4361A">
        <w:rPr>
          <w:rFonts w:ascii="仿宋_GB2312" w:eastAsia="仿宋_GB2312" w:hint="eastAsia"/>
          <w:sz w:val="32"/>
          <w:szCs w:val="32"/>
        </w:rPr>
        <w:t>月份浙江籍船舶在辖区外水域共发生水上交通事故</w:t>
      </w:r>
      <w:r w:rsidR="00B75539">
        <w:rPr>
          <w:rFonts w:ascii="仿宋_GB2312" w:eastAsia="仿宋_GB2312" w:hint="eastAsia"/>
          <w:sz w:val="32"/>
          <w:szCs w:val="32"/>
        </w:rPr>
        <w:t>3</w:t>
      </w:r>
      <w:r w:rsidR="00F4361A">
        <w:rPr>
          <w:rFonts w:ascii="仿宋_GB2312" w:eastAsia="仿宋_GB2312" w:hint="eastAsia"/>
          <w:sz w:val="32"/>
          <w:szCs w:val="32"/>
        </w:rPr>
        <w:t>.5件，其中一般等级事故</w:t>
      </w:r>
      <w:r w:rsidR="00B75539">
        <w:rPr>
          <w:rFonts w:ascii="仿宋_GB2312" w:eastAsia="仿宋_GB2312" w:hint="eastAsia"/>
          <w:sz w:val="32"/>
          <w:szCs w:val="32"/>
        </w:rPr>
        <w:t>1</w:t>
      </w:r>
      <w:r w:rsidR="00F4361A">
        <w:rPr>
          <w:rFonts w:ascii="仿宋_GB2312" w:eastAsia="仿宋_GB2312" w:hint="eastAsia"/>
          <w:sz w:val="32"/>
          <w:szCs w:val="32"/>
        </w:rPr>
        <w:t>件、小事故</w:t>
      </w:r>
      <w:r w:rsidR="00B75539">
        <w:rPr>
          <w:rFonts w:ascii="仿宋_GB2312" w:eastAsia="仿宋_GB2312" w:hint="eastAsia"/>
          <w:sz w:val="32"/>
          <w:szCs w:val="32"/>
        </w:rPr>
        <w:t>2.5</w:t>
      </w:r>
      <w:r w:rsidR="00F4361A">
        <w:rPr>
          <w:rFonts w:ascii="仿宋_GB2312" w:eastAsia="仿宋_GB2312" w:hint="eastAsia"/>
          <w:sz w:val="32"/>
          <w:szCs w:val="32"/>
        </w:rPr>
        <w:t>件，涉及</w:t>
      </w:r>
      <w:r w:rsidR="00B75539">
        <w:rPr>
          <w:rFonts w:ascii="仿宋_GB2312" w:eastAsia="仿宋_GB2312" w:hint="eastAsia"/>
          <w:sz w:val="32"/>
          <w:szCs w:val="32"/>
        </w:rPr>
        <w:t>5</w:t>
      </w:r>
      <w:r w:rsidR="00F4361A">
        <w:rPr>
          <w:rFonts w:ascii="仿宋_GB2312" w:eastAsia="仿宋_GB2312" w:hint="eastAsia"/>
          <w:sz w:val="32"/>
          <w:szCs w:val="32"/>
        </w:rPr>
        <w:t>艘浙江籍船舶，造成浙江籍船舶人员死亡</w:t>
      </w:r>
      <w:r w:rsidR="00B75539">
        <w:rPr>
          <w:rFonts w:ascii="仿宋_GB2312" w:eastAsia="仿宋_GB2312" w:hint="eastAsia"/>
          <w:sz w:val="32"/>
          <w:szCs w:val="32"/>
        </w:rPr>
        <w:t>2</w:t>
      </w:r>
      <w:r w:rsidR="00F4361A">
        <w:rPr>
          <w:rFonts w:ascii="仿宋_GB2312" w:eastAsia="仿宋_GB2312" w:hint="eastAsia"/>
          <w:sz w:val="32"/>
          <w:szCs w:val="32"/>
        </w:rPr>
        <w:t>人及船舶沉没</w:t>
      </w:r>
      <w:r w:rsidR="00B75539">
        <w:rPr>
          <w:rFonts w:ascii="仿宋_GB2312" w:eastAsia="仿宋_GB2312" w:hint="eastAsia"/>
          <w:sz w:val="32"/>
          <w:szCs w:val="32"/>
        </w:rPr>
        <w:t>1</w:t>
      </w:r>
      <w:r w:rsidR="00F4361A">
        <w:rPr>
          <w:rFonts w:ascii="仿宋_GB2312" w:eastAsia="仿宋_GB2312" w:hint="eastAsia"/>
          <w:sz w:val="32"/>
          <w:szCs w:val="32"/>
        </w:rPr>
        <w:t>艘。</w:t>
      </w:r>
    </w:p>
    <w:p w:rsidR="009F1EB8" w:rsidRDefault="00F4361A" w:rsidP="009F1EB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（二）辖区外浙江籍船舶一般等级以上事故案例</w:t>
      </w:r>
    </w:p>
    <w:p w:rsidR="00F50280" w:rsidRDefault="009F1EB8" w:rsidP="00B75539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F1EB8">
        <w:rPr>
          <w:rFonts w:ascii="仿宋_GB2312" w:eastAsia="仿宋_GB2312" w:hint="eastAsia"/>
          <w:sz w:val="32"/>
          <w:szCs w:val="32"/>
        </w:rPr>
        <w:t>1、</w:t>
      </w:r>
      <w:r w:rsidR="00B75539" w:rsidRPr="00B75539">
        <w:rPr>
          <w:rFonts w:ascii="仿宋_GB2312" w:eastAsia="仿宋_GB2312" w:hint="eastAsia"/>
          <w:sz w:val="32"/>
          <w:szCs w:val="32"/>
        </w:rPr>
        <w:t>2019年11月6日约0900时，苍南县兴港海运有限公司所属“兴港28“轮载运砂约1000吨从福建福鼎驶往浙江苍南途中，在福鼎离港期间</w:t>
      </w:r>
      <w:r w:rsidR="00B75539">
        <w:rPr>
          <w:rFonts w:ascii="仿宋_GB2312" w:eastAsia="仿宋_GB2312" w:hint="eastAsia"/>
          <w:sz w:val="32"/>
          <w:szCs w:val="32"/>
        </w:rPr>
        <w:t>发生</w:t>
      </w:r>
      <w:r w:rsidR="00B75539" w:rsidRPr="00B75539">
        <w:rPr>
          <w:rFonts w:ascii="仿宋_GB2312" w:eastAsia="仿宋_GB2312" w:hint="eastAsia"/>
          <w:sz w:val="32"/>
          <w:szCs w:val="32"/>
        </w:rPr>
        <w:t>触礁事故</w:t>
      </w:r>
      <w:r w:rsidR="00B75539">
        <w:rPr>
          <w:rFonts w:ascii="仿宋_GB2312" w:eastAsia="仿宋_GB2312" w:hint="eastAsia"/>
          <w:sz w:val="32"/>
          <w:szCs w:val="32"/>
        </w:rPr>
        <w:t>后</w:t>
      </w:r>
      <w:r w:rsidR="00B75539" w:rsidRPr="00B75539">
        <w:rPr>
          <w:rFonts w:ascii="仿宋_GB2312" w:eastAsia="仿宋_GB2312" w:hint="eastAsia"/>
          <w:sz w:val="32"/>
          <w:szCs w:val="32"/>
        </w:rPr>
        <w:t>沉没于福鼎鼎港船厂附近水域（概位27°13.46′N，120°20.12′E），造成2人死亡，构成一般等级事故。（非体系</w:t>
      </w:r>
      <w:r w:rsidR="00BE7477">
        <w:rPr>
          <w:rFonts w:ascii="仿宋_GB2312" w:eastAsia="仿宋_GB2312" w:hint="eastAsia"/>
          <w:sz w:val="32"/>
          <w:szCs w:val="32"/>
        </w:rPr>
        <w:t>公司：</w:t>
      </w:r>
      <w:r w:rsidR="00B75539" w:rsidRPr="00B75539">
        <w:rPr>
          <w:rFonts w:ascii="仿宋_GB2312" w:eastAsia="仿宋_GB2312" w:hint="eastAsia"/>
          <w:sz w:val="32"/>
          <w:szCs w:val="32"/>
        </w:rPr>
        <w:t>苍南县兴港海运有限公司</w:t>
      </w:r>
      <w:r w:rsidR="00BE7477">
        <w:rPr>
          <w:rFonts w:ascii="仿宋_GB2312" w:eastAsia="仿宋_GB2312" w:hint="eastAsia"/>
          <w:sz w:val="32"/>
          <w:szCs w:val="32"/>
        </w:rPr>
        <w:t xml:space="preserve">）   </w:t>
      </w:r>
    </w:p>
    <w:p w:rsidR="00F50280" w:rsidRDefault="00F4361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三、事故所涉及浙江籍船舶公司管理情况</w:t>
      </w:r>
    </w:p>
    <w:p w:rsidR="00F50280" w:rsidRDefault="00F4361A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</w:t>
      </w:r>
      <w:r w:rsidR="00BE7477">
        <w:rPr>
          <w:rFonts w:ascii="仿宋_GB2312" w:eastAsia="仿宋_GB2312" w:hAnsi="仿宋" w:hint="eastAsia"/>
          <w:bCs/>
          <w:sz w:val="32"/>
          <w:szCs w:val="32"/>
        </w:rPr>
        <w:t>1</w:t>
      </w:r>
      <w:r w:rsidR="00D92BD5"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 w:hint="eastAsia"/>
          <w:bCs/>
          <w:sz w:val="32"/>
          <w:szCs w:val="32"/>
        </w:rPr>
        <w:t>月份，浙江籍船舶共发生水上交通事故</w:t>
      </w:r>
      <w:r w:rsidR="00280C39">
        <w:rPr>
          <w:rFonts w:ascii="仿宋_GB2312" w:eastAsia="仿宋_GB2312" w:hAnsi="仿宋" w:hint="eastAsia"/>
          <w:bCs/>
          <w:sz w:val="32"/>
          <w:szCs w:val="32"/>
        </w:rPr>
        <w:t>7</w:t>
      </w:r>
      <w:r>
        <w:rPr>
          <w:rFonts w:ascii="仿宋_GB2312" w:eastAsia="仿宋_GB2312" w:hAnsi="仿宋" w:hint="eastAsia"/>
          <w:bCs/>
          <w:sz w:val="32"/>
          <w:szCs w:val="32"/>
        </w:rPr>
        <w:t>件（</w:t>
      </w:r>
      <w:r w:rsidR="00165550">
        <w:rPr>
          <w:rFonts w:ascii="仿宋_GB2312" w:eastAsia="仿宋_GB2312" w:hAnsi="仿宋" w:hint="eastAsia"/>
          <w:bCs/>
          <w:sz w:val="32"/>
          <w:szCs w:val="32"/>
        </w:rPr>
        <w:t>均为</w:t>
      </w:r>
      <w:r>
        <w:rPr>
          <w:rFonts w:ascii="仿宋_GB2312" w:eastAsia="仿宋_GB2312" w:hAnsi="仿宋" w:hint="eastAsia"/>
          <w:bCs/>
          <w:sz w:val="32"/>
          <w:szCs w:val="32"/>
        </w:rPr>
        <w:t>小事故，辖区内</w:t>
      </w:r>
      <w:r w:rsidR="00280C39">
        <w:rPr>
          <w:rFonts w:ascii="仿宋_GB2312" w:eastAsia="仿宋_GB2312" w:hAnsi="仿宋" w:hint="eastAsia"/>
          <w:bCs/>
          <w:sz w:val="32"/>
          <w:szCs w:val="32"/>
        </w:rPr>
        <w:t>3</w:t>
      </w:r>
      <w:r w:rsidR="00BE7477">
        <w:rPr>
          <w:rFonts w:ascii="仿宋_GB2312" w:eastAsia="仿宋_GB2312" w:hAnsi="仿宋" w:hint="eastAsia"/>
          <w:bCs/>
          <w:sz w:val="32"/>
          <w:szCs w:val="32"/>
        </w:rPr>
        <w:t>.5</w:t>
      </w:r>
      <w:r>
        <w:rPr>
          <w:rFonts w:ascii="仿宋_GB2312" w:eastAsia="仿宋_GB2312" w:hAnsi="仿宋" w:hint="eastAsia"/>
          <w:bCs/>
          <w:sz w:val="32"/>
          <w:szCs w:val="32"/>
        </w:rPr>
        <w:t>件、辖区外</w:t>
      </w:r>
      <w:r w:rsidR="00165550">
        <w:rPr>
          <w:rFonts w:ascii="仿宋_GB2312" w:eastAsia="仿宋_GB2312" w:hAnsi="仿宋" w:hint="eastAsia"/>
          <w:bCs/>
          <w:sz w:val="32"/>
          <w:szCs w:val="32"/>
        </w:rPr>
        <w:t>3</w:t>
      </w:r>
      <w:r>
        <w:rPr>
          <w:rFonts w:ascii="仿宋_GB2312" w:eastAsia="仿宋_GB2312" w:hAnsi="仿宋" w:hint="eastAsia"/>
          <w:bCs/>
          <w:sz w:val="32"/>
          <w:szCs w:val="32"/>
        </w:rPr>
        <w:t>.5件），死亡失踪</w:t>
      </w:r>
      <w:r w:rsidR="00165550">
        <w:rPr>
          <w:rFonts w:ascii="仿宋_GB2312" w:eastAsia="仿宋_GB2312" w:hAnsi="仿宋" w:hint="eastAsia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</w:rPr>
        <w:t>人、船舶沉没</w:t>
      </w:r>
      <w:r w:rsidR="00165550">
        <w:rPr>
          <w:rFonts w:ascii="仿宋_GB2312" w:eastAsia="仿宋_GB2312" w:hAnsi="仿宋" w:hint="eastAsia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</w:rPr>
        <w:t>艘、直接经济损坏约</w:t>
      </w:r>
      <w:r w:rsidR="00280C39">
        <w:rPr>
          <w:rFonts w:ascii="仿宋_GB2312" w:eastAsia="仿宋_GB2312" w:hAnsi="仿宋" w:hint="eastAsia"/>
          <w:bCs/>
          <w:sz w:val="32"/>
          <w:szCs w:val="32"/>
        </w:rPr>
        <w:t>404</w:t>
      </w:r>
      <w:r w:rsidR="00165550">
        <w:rPr>
          <w:rFonts w:ascii="仿宋_GB2312" w:eastAsia="仿宋_GB2312" w:hAnsi="仿宋" w:hint="eastAsia"/>
          <w:bCs/>
          <w:sz w:val="32"/>
          <w:szCs w:val="32"/>
        </w:rPr>
        <w:t>.5</w:t>
      </w:r>
      <w:r>
        <w:rPr>
          <w:rFonts w:ascii="仿宋_GB2312" w:eastAsia="仿宋_GB2312" w:hAnsi="仿宋" w:hint="eastAsia"/>
          <w:bCs/>
          <w:sz w:val="32"/>
          <w:szCs w:val="32"/>
        </w:rPr>
        <w:t>万元。</w:t>
      </w: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1560"/>
        <w:gridCol w:w="1842"/>
        <w:gridCol w:w="2183"/>
      </w:tblGrid>
      <w:tr w:rsidR="00F50280">
        <w:trPr>
          <w:trHeight w:val="284"/>
        </w:trPr>
        <w:tc>
          <w:tcPr>
            <w:tcW w:w="1384" w:type="dxa"/>
          </w:tcPr>
          <w:p w:rsidR="00F50280" w:rsidRDefault="00F4361A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浙江籍船舶</w:t>
            </w:r>
          </w:p>
        </w:tc>
        <w:tc>
          <w:tcPr>
            <w:tcW w:w="1559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事故件数</w:t>
            </w:r>
          </w:p>
        </w:tc>
        <w:tc>
          <w:tcPr>
            <w:tcW w:w="1560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死亡失踪人数</w:t>
            </w:r>
          </w:p>
        </w:tc>
        <w:tc>
          <w:tcPr>
            <w:tcW w:w="1842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沉船艘数</w:t>
            </w:r>
          </w:p>
        </w:tc>
        <w:tc>
          <w:tcPr>
            <w:tcW w:w="2183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直接经济损失万元</w:t>
            </w:r>
          </w:p>
        </w:tc>
      </w:tr>
      <w:tr w:rsidR="00F50280">
        <w:trPr>
          <w:trHeight w:val="284"/>
        </w:trPr>
        <w:tc>
          <w:tcPr>
            <w:tcW w:w="1384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体系船舶</w:t>
            </w:r>
          </w:p>
        </w:tc>
        <w:tc>
          <w:tcPr>
            <w:tcW w:w="1559" w:type="dxa"/>
          </w:tcPr>
          <w:p w:rsidR="00F50280" w:rsidRDefault="004003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560" w:type="dxa"/>
          </w:tcPr>
          <w:p w:rsidR="00F50280" w:rsidRDefault="004003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F50280" w:rsidRDefault="004003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F50280" w:rsidRDefault="004003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105</w:t>
            </w:r>
          </w:p>
        </w:tc>
      </w:tr>
      <w:tr w:rsidR="00F50280">
        <w:trPr>
          <w:trHeight w:val="284"/>
        </w:trPr>
        <w:tc>
          <w:tcPr>
            <w:tcW w:w="1384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非体系船舶</w:t>
            </w:r>
          </w:p>
        </w:tc>
        <w:tc>
          <w:tcPr>
            <w:tcW w:w="1559" w:type="dxa"/>
          </w:tcPr>
          <w:p w:rsidR="00F50280" w:rsidRDefault="004003F3" w:rsidP="004003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560" w:type="dxa"/>
          </w:tcPr>
          <w:p w:rsidR="00F50280" w:rsidRDefault="004003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842" w:type="dxa"/>
          </w:tcPr>
          <w:p w:rsidR="00F50280" w:rsidRDefault="004003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2183" w:type="dxa"/>
          </w:tcPr>
          <w:p w:rsidR="00F50280" w:rsidRDefault="004003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299.5</w:t>
            </w:r>
          </w:p>
        </w:tc>
      </w:tr>
      <w:tr w:rsidR="00F50280">
        <w:trPr>
          <w:trHeight w:val="284"/>
        </w:trPr>
        <w:tc>
          <w:tcPr>
            <w:tcW w:w="1384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辖区内</w:t>
            </w:r>
          </w:p>
        </w:tc>
        <w:tc>
          <w:tcPr>
            <w:tcW w:w="1559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 w:rsidR="002241E6">
              <w:rPr>
                <w:rFonts w:ascii="宋体" w:hAnsi="宋体" w:hint="eastAsia"/>
                <w:bCs/>
                <w:szCs w:val="21"/>
              </w:rPr>
              <w:t>.5</w:t>
            </w:r>
          </w:p>
        </w:tc>
        <w:tc>
          <w:tcPr>
            <w:tcW w:w="1560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183" w:type="dxa"/>
          </w:tcPr>
          <w:p w:rsidR="00F50280" w:rsidRPr="00280C39" w:rsidRDefault="00165550" w:rsidP="00280C3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280C39">
              <w:rPr>
                <w:rFonts w:ascii="宋体" w:hAnsi="宋体" w:hint="eastAsia"/>
                <w:bCs/>
                <w:szCs w:val="21"/>
              </w:rPr>
              <w:t>1</w:t>
            </w:r>
            <w:r w:rsidR="00280C39" w:rsidRPr="00280C39">
              <w:rPr>
                <w:rFonts w:ascii="宋体" w:hAnsi="宋体" w:hint="eastAsia"/>
                <w:bCs/>
                <w:szCs w:val="21"/>
              </w:rPr>
              <w:t>9</w:t>
            </w:r>
            <w:r w:rsidRPr="00280C39">
              <w:rPr>
                <w:rFonts w:ascii="宋体" w:hAnsi="宋体" w:hint="eastAsia"/>
                <w:bCs/>
                <w:szCs w:val="21"/>
              </w:rPr>
              <w:t>8</w:t>
            </w:r>
          </w:p>
        </w:tc>
      </w:tr>
      <w:tr w:rsidR="00F50280">
        <w:trPr>
          <w:trHeight w:val="284"/>
        </w:trPr>
        <w:tc>
          <w:tcPr>
            <w:tcW w:w="1384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辖区外</w:t>
            </w:r>
          </w:p>
        </w:tc>
        <w:tc>
          <w:tcPr>
            <w:tcW w:w="1559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 w:rsidR="002241E6">
              <w:rPr>
                <w:rFonts w:ascii="宋体" w:hAnsi="宋体" w:hint="eastAsia"/>
                <w:bCs/>
                <w:szCs w:val="21"/>
              </w:rPr>
              <w:t>.5</w:t>
            </w:r>
          </w:p>
        </w:tc>
        <w:tc>
          <w:tcPr>
            <w:tcW w:w="1560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842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183" w:type="dxa"/>
          </w:tcPr>
          <w:p w:rsidR="00F50280" w:rsidRPr="00280C39" w:rsidRDefault="0016555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280C39">
              <w:rPr>
                <w:rFonts w:ascii="宋体" w:hAnsi="宋体" w:hint="eastAsia"/>
                <w:bCs/>
                <w:szCs w:val="21"/>
              </w:rPr>
              <w:t>206.5</w:t>
            </w:r>
          </w:p>
        </w:tc>
      </w:tr>
      <w:tr w:rsidR="00F50280">
        <w:trPr>
          <w:trHeight w:val="284"/>
        </w:trPr>
        <w:tc>
          <w:tcPr>
            <w:tcW w:w="1384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较大事故</w:t>
            </w:r>
          </w:p>
        </w:tc>
        <w:tc>
          <w:tcPr>
            <w:tcW w:w="1559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560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F50280">
        <w:trPr>
          <w:trHeight w:val="284"/>
        </w:trPr>
        <w:tc>
          <w:tcPr>
            <w:tcW w:w="1384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一般事故</w:t>
            </w:r>
          </w:p>
        </w:tc>
        <w:tc>
          <w:tcPr>
            <w:tcW w:w="1559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560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F50280">
        <w:trPr>
          <w:trHeight w:val="284"/>
        </w:trPr>
        <w:tc>
          <w:tcPr>
            <w:tcW w:w="1384" w:type="dxa"/>
          </w:tcPr>
          <w:p w:rsidR="00F50280" w:rsidRDefault="00F436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小事故</w:t>
            </w:r>
          </w:p>
        </w:tc>
        <w:tc>
          <w:tcPr>
            <w:tcW w:w="1559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</w:t>
            </w:r>
          </w:p>
        </w:tc>
        <w:tc>
          <w:tcPr>
            <w:tcW w:w="1560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842" w:type="dxa"/>
          </w:tcPr>
          <w:p w:rsidR="00F50280" w:rsidRDefault="002241E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2183" w:type="dxa"/>
          </w:tcPr>
          <w:p w:rsidR="00F50280" w:rsidRDefault="00280C3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404.5</w:t>
            </w:r>
          </w:p>
        </w:tc>
      </w:tr>
    </w:tbl>
    <w:p w:rsidR="00F50280" w:rsidRDefault="00F4361A">
      <w:pPr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四、</w:t>
      </w:r>
      <w:r w:rsidR="002241E6">
        <w:rPr>
          <w:rFonts w:ascii="仿宋_GB2312" w:eastAsia="仿宋_GB2312" w:hint="eastAsia"/>
          <w:b/>
          <w:sz w:val="32"/>
          <w:szCs w:val="32"/>
        </w:rPr>
        <w:t>1</w:t>
      </w:r>
      <w:r w:rsidR="004003F3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月份事故特点分析</w:t>
      </w:r>
    </w:p>
    <w:p w:rsidR="00F50280" w:rsidRDefault="002241E6" w:rsidP="00C94F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C94FBE">
        <w:rPr>
          <w:rFonts w:ascii="仿宋_GB2312" w:eastAsia="仿宋_GB2312" w:hint="eastAsia"/>
          <w:sz w:val="32"/>
          <w:szCs w:val="32"/>
        </w:rPr>
        <w:t>1</w:t>
      </w:r>
      <w:r w:rsidR="00F4361A">
        <w:rPr>
          <w:rFonts w:ascii="仿宋_GB2312" w:eastAsia="仿宋_GB2312" w:hint="eastAsia"/>
          <w:sz w:val="32"/>
          <w:szCs w:val="32"/>
        </w:rPr>
        <w:t>月份辖区</w:t>
      </w:r>
      <w:r w:rsidR="00C94FBE">
        <w:rPr>
          <w:rFonts w:ascii="仿宋_GB2312" w:eastAsia="仿宋_GB2312" w:hint="eastAsia"/>
          <w:sz w:val="32"/>
          <w:szCs w:val="32"/>
        </w:rPr>
        <w:t>水上交通安全形势总体稳定。</w:t>
      </w:r>
      <w:r w:rsidR="00F4361A">
        <w:rPr>
          <w:rFonts w:ascii="仿宋_GB2312" w:eastAsia="仿宋_GB2312" w:hint="eastAsia"/>
          <w:sz w:val="32"/>
          <w:szCs w:val="32"/>
        </w:rPr>
        <w:t>发生</w:t>
      </w:r>
      <w:r>
        <w:rPr>
          <w:rFonts w:ascii="仿宋_GB2312" w:eastAsia="仿宋_GB2312" w:hint="eastAsia"/>
          <w:sz w:val="32"/>
          <w:szCs w:val="32"/>
        </w:rPr>
        <w:t>水上交通</w:t>
      </w:r>
      <w:r w:rsidR="00F4361A">
        <w:rPr>
          <w:rFonts w:ascii="仿宋_GB2312" w:eastAsia="仿宋_GB2312" w:hint="eastAsia"/>
          <w:sz w:val="32"/>
          <w:szCs w:val="32"/>
        </w:rPr>
        <w:t>事故</w:t>
      </w:r>
      <w:r w:rsidR="00C94FBE">
        <w:rPr>
          <w:rFonts w:ascii="仿宋_GB2312" w:eastAsia="仿宋_GB2312" w:hint="eastAsia"/>
          <w:sz w:val="32"/>
          <w:szCs w:val="32"/>
        </w:rPr>
        <w:t>10</w:t>
      </w:r>
      <w:r w:rsidR="00F4361A">
        <w:rPr>
          <w:rFonts w:ascii="仿宋_GB2312" w:eastAsia="仿宋_GB2312" w:hint="eastAsia"/>
          <w:sz w:val="32"/>
          <w:szCs w:val="32"/>
        </w:rPr>
        <w:t>件，</w:t>
      </w:r>
      <w:r>
        <w:rPr>
          <w:rFonts w:ascii="仿宋_GB2312" w:eastAsia="仿宋_GB2312" w:hint="eastAsia"/>
          <w:sz w:val="32"/>
          <w:szCs w:val="32"/>
        </w:rPr>
        <w:t>同比减少</w:t>
      </w:r>
      <w:r w:rsidR="00C94FB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件、下降</w:t>
      </w:r>
      <w:r w:rsidR="00C94FBE">
        <w:rPr>
          <w:rFonts w:ascii="仿宋_GB2312" w:eastAsia="仿宋_GB2312" w:hint="eastAsia"/>
          <w:sz w:val="32"/>
          <w:szCs w:val="32"/>
        </w:rPr>
        <w:t>9.1</w:t>
      </w:r>
      <w:r>
        <w:rPr>
          <w:rFonts w:ascii="仿宋_GB2312" w:eastAsia="仿宋_GB2312" w:hint="eastAsia"/>
          <w:sz w:val="32"/>
          <w:szCs w:val="32"/>
        </w:rPr>
        <w:t>%，环比</w:t>
      </w:r>
      <w:r w:rsidR="00C94FBE">
        <w:rPr>
          <w:rFonts w:ascii="仿宋_GB2312" w:eastAsia="仿宋_GB2312" w:hint="eastAsia"/>
          <w:sz w:val="32"/>
          <w:szCs w:val="32"/>
        </w:rPr>
        <w:t>增加4件</w:t>
      </w:r>
      <w:r w:rsidR="00376101">
        <w:rPr>
          <w:rFonts w:ascii="仿宋_GB2312" w:eastAsia="仿宋_GB2312" w:hint="eastAsia"/>
          <w:sz w:val="32"/>
          <w:szCs w:val="32"/>
        </w:rPr>
        <w:t>、</w:t>
      </w:r>
      <w:r w:rsidR="00C94FBE">
        <w:rPr>
          <w:rFonts w:ascii="仿宋_GB2312" w:eastAsia="仿宋_GB2312" w:hint="eastAsia"/>
          <w:sz w:val="32"/>
          <w:szCs w:val="32"/>
        </w:rPr>
        <w:t>上升66.7</w:t>
      </w:r>
      <w:r w:rsidR="00376101">
        <w:rPr>
          <w:rFonts w:ascii="仿宋_GB2312" w:eastAsia="仿宋_GB2312" w:hint="eastAsia"/>
          <w:sz w:val="32"/>
          <w:szCs w:val="32"/>
        </w:rPr>
        <w:t>%</w:t>
      </w:r>
      <w:r w:rsidR="00F4361A">
        <w:rPr>
          <w:rFonts w:ascii="仿宋_GB2312" w:eastAsia="仿宋_GB2312" w:hint="eastAsia"/>
          <w:sz w:val="32"/>
          <w:szCs w:val="32"/>
        </w:rPr>
        <w:t>；</w:t>
      </w:r>
      <w:r w:rsidR="00C94FBE">
        <w:rPr>
          <w:rFonts w:ascii="仿宋_GB2312" w:eastAsia="仿宋_GB2312" w:hint="eastAsia"/>
          <w:sz w:val="32"/>
          <w:szCs w:val="32"/>
        </w:rPr>
        <w:t>未发生等级以上事故，去年同期辖区也未发生等级以上事故；因</w:t>
      </w:r>
      <w:r w:rsidR="00376101">
        <w:rPr>
          <w:rFonts w:ascii="仿宋_GB2312" w:eastAsia="仿宋_GB2312" w:hint="eastAsia"/>
          <w:sz w:val="32"/>
          <w:szCs w:val="32"/>
        </w:rPr>
        <w:t>10月份发生2件较大等级事故，造成8人死亡失踪</w:t>
      </w:r>
      <w:r w:rsidR="005A4776">
        <w:rPr>
          <w:rFonts w:ascii="仿宋_GB2312" w:eastAsia="仿宋_GB2312" w:hint="eastAsia"/>
          <w:sz w:val="32"/>
          <w:szCs w:val="32"/>
        </w:rPr>
        <w:t>，</w:t>
      </w:r>
      <w:r w:rsidR="00C94FBE">
        <w:rPr>
          <w:rFonts w:ascii="仿宋_GB2312" w:eastAsia="仿宋_GB2312" w:hint="eastAsia"/>
          <w:sz w:val="32"/>
          <w:szCs w:val="32"/>
        </w:rPr>
        <w:t>四项指标环比“全面下降”。</w:t>
      </w:r>
      <w:r w:rsidR="00C94FBE">
        <w:rPr>
          <w:rFonts w:ascii="仿宋_GB2312" w:eastAsia="仿宋_GB2312"/>
          <w:sz w:val="32"/>
          <w:szCs w:val="32"/>
        </w:rPr>
        <w:t xml:space="preserve"> </w:t>
      </w:r>
    </w:p>
    <w:p w:rsidR="00F50280" w:rsidRDefault="00F4361A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五、</w:t>
      </w:r>
      <w:r w:rsidR="005A4776">
        <w:rPr>
          <w:rFonts w:ascii="仿宋_GB2312" w:eastAsia="仿宋_GB2312" w:hint="eastAsia"/>
          <w:b/>
          <w:bCs/>
          <w:sz w:val="32"/>
          <w:szCs w:val="32"/>
        </w:rPr>
        <w:t>1</w:t>
      </w:r>
      <w:r w:rsidR="00C94FBE"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月份事故原因分析</w:t>
      </w:r>
    </w:p>
    <w:p w:rsidR="00F50280" w:rsidRDefault="001C6AB3" w:rsidP="001C6A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A4776">
        <w:rPr>
          <w:rFonts w:ascii="仿宋_GB2312" w:eastAsia="仿宋_GB2312" w:hint="eastAsia"/>
          <w:sz w:val="32"/>
          <w:szCs w:val="32"/>
        </w:rPr>
        <w:t>1</w:t>
      </w:r>
      <w:r w:rsidR="00C94FBE">
        <w:rPr>
          <w:rFonts w:ascii="仿宋_GB2312" w:eastAsia="仿宋_GB2312" w:hint="eastAsia"/>
          <w:sz w:val="32"/>
          <w:szCs w:val="32"/>
        </w:rPr>
        <w:t>1</w:t>
      </w:r>
      <w:r w:rsidR="00F4361A">
        <w:rPr>
          <w:rFonts w:ascii="仿宋_GB2312" w:eastAsia="仿宋_GB2312" w:hint="eastAsia"/>
          <w:sz w:val="32"/>
          <w:szCs w:val="32"/>
        </w:rPr>
        <w:t>月份事故发生的主要原因：一是</w:t>
      </w:r>
      <w:r w:rsidR="001E5240">
        <w:rPr>
          <w:rFonts w:ascii="仿宋_GB2312" w:eastAsia="仿宋_GB2312" w:hint="eastAsia"/>
          <w:sz w:val="32"/>
          <w:szCs w:val="32"/>
        </w:rPr>
        <w:t>船舶维护保养不到位。由于船舶维护保养不到位，引发主机、舵机故障，</w:t>
      </w:r>
      <w:r w:rsidR="007235F9">
        <w:rPr>
          <w:rFonts w:ascii="仿宋_GB2312" w:eastAsia="仿宋_GB2312" w:hint="eastAsia"/>
          <w:sz w:val="32"/>
          <w:szCs w:val="32"/>
        </w:rPr>
        <w:t>电气线路老化，</w:t>
      </w:r>
      <w:r w:rsidR="001E5240">
        <w:rPr>
          <w:rFonts w:ascii="仿宋_GB2312" w:eastAsia="仿宋_GB2312" w:hint="eastAsia"/>
          <w:sz w:val="32"/>
          <w:szCs w:val="32"/>
        </w:rPr>
        <w:t>进而导致发生事故。二是不熟悉水域通航环境，11月份因船舶驾驶员不熟悉水域通航环境，造成触礁搁浅事故</w:t>
      </w:r>
      <w:r w:rsidR="00A2385C">
        <w:rPr>
          <w:rFonts w:ascii="仿宋_GB2312" w:eastAsia="仿宋_GB2312" w:hint="eastAsia"/>
          <w:sz w:val="32"/>
          <w:szCs w:val="32"/>
        </w:rPr>
        <w:t>。三是了望疏忽及</w:t>
      </w:r>
      <w:r w:rsidR="005A4776">
        <w:rPr>
          <w:rFonts w:ascii="仿宋_GB2312" w:eastAsia="仿宋_GB2312" w:hint="eastAsia"/>
          <w:sz w:val="32"/>
          <w:szCs w:val="32"/>
        </w:rPr>
        <w:t>操作不当</w:t>
      </w:r>
      <w:r w:rsidR="00F4361A">
        <w:rPr>
          <w:rFonts w:ascii="仿宋_GB2312" w:eastAsia="仿宋_GB2312" w:hint="eastAsia"/>
          <w:sz w:val="32"/>
          <w:szCs w:val="32"/>
        </w:rPr>
        <w:t>。</w:t>
      </w:r>
      <w:r w:rsidR="00A2385C">
        <w:rPr>
          <w:rFonts w:ascii="仿宋_GB2312" w:eastAsia="仿宋_GB2312" w:hint="eastAsia"/>
          <w:sz w:val="32"/>
          <w:szCs w:val="32"/>
        </w:rPr>
        <w:t>11月份发生6件碰撞小事故，除1件系因主机故障导致外，其余5件均存在了望疏忽以及应急操作不当有关。</w:t>
      </w:r>
    </w:p>
    <w:sectPr w:rsidR="00F50280" w:rsidSect="00F50280">
      <w:footerReference w:type="even" r:id="rId7"/>
      <w:footerReference w:type="default" r:id="rId8"/>
      <w:pgSz w:w="11906" w:h="16838"/>
      <w:pgMar w:top="1247" w:right="1797" w:bottom="10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17" w:rsidRDefault="00897617" w:rsidP="00F50280">
      <w:r>
        <w:separator/>
      </w:r>
    </w:p>
  </w:endnote>
  <w:endnote w:type="continuationSeparator" w:id="1">
    <w:p w:rsidR="00897617" w:rsidRDefault="00897617" w:rsidP="00F5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D4" w:rsidRDefault="00C810A7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3B25D4">
      <w:rPr>
        <w:rStyle w:val="a9"/>
      </w:rPr>
      <w:instrText xml:space="preserve">PAGE  </w:instrText>
    </w:r>
    <w:r>
      <w:fldChar w:fldCharType="end"/>
    </w:r>
  </w:p>
  <w:p w:rsidR="003B25D4" w:rsidRDefault="003B25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D4" w:rsidRDefault="00C810A7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3B25D4">
      <w:rPr>
        <w:rStyle w:val="a9"/>
      </w:rPr>
      <w:instrText xml:space="preserve">PAGE  </w:instrText>
    </w:r>
    <w:r>
      <w:fldChar w:fldCharType="separate"/>
    </w:r>
    <w:r w:rsidR="002B717B">
      <w:rPr>
        <w:rStyle w:val="a9"/>
        <w:noProof/>
      </w:rPr>
      <w:t>5</w:t>
    </w:r>
    <w:r>
      <w:fldChar w:fldCharType="end"/>
    </w:r>
  </w:p>
  <w:p w:rsidR="003B25D4" w:rsidRDefault="003B25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17" w:rsidRDefault="00897617" w:rsidP="00F50280">
      <w:r>
        <w:separator/>
      </w:r>
    </w:p>
  </w:footnote>
  <w:footnote w:type="continuationSeparator" w:id="1">
    <w:p w:rsidR="00897617" w:rsidRDefault="00897617" w:rsidP="00F50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doNotUseIndentAsNumberingTabStop/>
    <w:useAltKinsokuLineBreakRules/>
  </w:compat>
  <w:rsids>
    <w:rsidRoot w:val="00E80759"/>
    <w:rsid w:val="00003368"/>
    <w:rsid w:val="00003C5D"/>
    <w:rsid w:val="00004D21"/>
    <w:rsid w:val="00007BD8"/>
    <w:rsid w:val="000123C7"/>
    <w:rsid w:val="000125AE"/>
    <w:rsid w:val="000144F4"/>
    <w:rsid w:val="00016792"/>
    <w:rsid w:val="00021E05"/>
    <w:rsid w:val="00032907"/>
    <w:rsid w:val="00035532"/>
    <w:rsid w:val="000406C7"/>
    <w:rsid w:val="00046305"/>
    <w:rsid w:val="0006031F"/>
    <w:rsid w:val="00062C85"/>
    <w:rsid w:val="0006395D"/>
    <w:rsid w:val="0006626D"/>
    <w:rsid w:val="0007171E"/>
    <w:rsid w:val="000728A3"/>
    <w:rsid w:val="000738AC"/>
    <w:rsid w:val="0008034C"/>
    <w:rsid w:val="0008337F"/>
    <w:rsid w:val="00086245"/>
    <w:rsid w:val="00087EC6"/>
    <w:rsid w:val="0009307B"/>
    <w:rsid w:val="0009548D"/>
    <w:rsid w:val="000B09E5"/>
    <w:rsid w:val="000B1D07"/>
    <w:rsid w:val="000B4296"/>
    <w:rsid w:val="000D51AC"/>
    <w:rsid w:val="000D6629"/>
    <w:rsid w:val="000D685D"/>
    <w:rsid w:val="000F2671"/>
    <w:rsid w:val="000F385A"/>
    <w:rsid w:val="000F470F"/>
    <w:rsid w:val="0012487D"/>
    <w:rsid w:val="00125278"/>
    <w:rsid w:val="00127144"/>
    <w:rsid w:val="00134147"/>
    <w:rsid w:val="00137415"/>
    <w:rsid w:val="00137442"/>
    <w:rsid w:val="0014293B"/>
    <w:rsid w:val="00151E82"/>
    <w:rsid w:val="00154C08"/>
    <w:rsid w:val="001569C2"/>
    <w:rsid w:val="00165550"/>
    <w:rsid w:val="001676EA"/>
    <w:rsid w:val="00174404"/>
    <w:rsid w:val="00174ECC"/>
    <w:rsid w:val="00177576"/>
    <w:rsid w:val="001853C6"/>
    <w:rsid w:val="00187721"/>
    <w:rsid w:val="001972F1"/>
    <w:rsid w:val="001A0803"/>
    <w:rsid w:val="001A4B03"/>
    <w:rsid w:val="001A6CB1"/>
    <w:rsid w:val="001B05B5"/>
    <w:rsid w:val="001B28C5"/>
    <w:rsid w:val="001B72CA"/>
    <w:rsid w:val="001C11DD"/>
    <w:rsid w:val="001C16DF"/>
    <w:rsid w:val="001C34C0"/>
    <w:rsid w:val="001C5DB9"/>
    <w:rsid w:val="001C69F1"/>
    <w:rsid w:val="001C6AB3"/>
    <w:rsid w:val="001D4118"/>
    <w:rsid w:val="001E4D4D"/>
    <w:rsid w:val="001E5240"/>
    <w:rsid w:val="00212C1F"/>
    <w:rsid w:val="00214320"/>
    <w:rsid w:val="00214544"/>
    <w:rsid w:val="00216E1F"/>
    <w:rsid w:val="002241E6"/>
    <w:rsid w:val="0023674F"/>
    <w:rsid w:val="00262555"/>
    <w:rsid w:val="00263915"/>
    <w:rsid w:val="00264EA2"/>
    <w:rsid w:val="0026670D"/>
    <w:rsid w:val="00267A39"/>
    <w:rsid w:val="0027081A"/>
    <w:rsid w:val="00271669"/>
    <w:rsid w:val="00271AAD"/>
    <w:rsid w:val="00272404"/>
    <w:rsid w:val="002749E2"/>
    <w:rsid w:val="00280C39"/>
    <w:rsid w:val="002821F4"/>
    <w:rsid w:val="002875FC"/>
    <w:rsid w:val="00294B07"/>
    <w:rsid w:val="002A38A6"/>
    <w:rsid w:val="002A4E7D"/>
    <w:rsid w:val="002A5021"/>
    <w:rsid w:val="002A6A23"/>
    <w:rsid w:val="002A71FC"/>
    <w:rsid w:val="002B5108"/>
    <w:rsid w:val="002B717B"/>
    <w:rsid w:val="002C0191"/>
    <w:rsid w:val="002C0509"/>
    <w:rsid w:val="002C2A81"/>
    <w:rsid w:val="002C6394"/>
    <w:rsid w:val="002D5248"/>
    <w:rsid w:val="002D595D"/>
    <w:rsid w:val="002E72E7"/>
    <w:rsid w:val="002F2A8B"/>
    <w:rsid w:val="002F6EEB"/>
    <w:rsid w:val="00303884"/>
    <w:rsid w:val="0030657E"/>
    <w:rsid w:val="00307397"/>
    <w:rsid w:val="0032286D"/>
    <w:rsid w:val="003243DC"/>
    <w:rsid w:val="00325323"/>
    <w:rsid w:val="00346C89"/>
    <w:rsid w:val="003474AB"/>
    <w:rsid w:val="0035109F"/>
    <w:rsid w:val="0035480D"/>
    <w:rsid w:val="00361800"/>
    <w:rsid w:val="003621D8"/>
    <w:rsid w:val="00362608"/>
    <w:rsid w:val="00367EE2"/>
    <w:rsid w:val="00376101"/>
    <w:rsid w:val="00377414"/>
    <w:rsid w:val="0038125C"/>
    <w:rsid w:val="00384CDF"/>
    <w:rsid w:val="00387552"/>
    <w:rsid w:val="003911EA"/>
    <w:rsid w:val="003917BB"/>
    <w:rsid w:val="0039190F"/>
    <w:rsid w:val="00391A7C"/>
    <w:rsid w:val="00392EC1"/>
    <w:rsid w:val="003935C1"/>
    <w:rsid w:val="003A3884"/>
    <w:rsid w:val="003B0877"/>
    <w:rsid w:val="003B0B57"/>
    <w:rsid w:val="003B25D4"/>
    <w:rsid w:val="003B2B51"/>
    <w:rsid w:val="003B3ECB"/>
    <w:rsid w:val="003D03DD"/>
    <w:rsid w:val="003D60E7"/>
    <w:rsid w:val="003E2238"/>
    <w:rsid w:val="003E758A"/>
    <w:rsid w:val="003F354C"/>
    <w:rsid w:val="003F4409"/>
    <w:rsid w:val="003F6329"/>
    <w:rsid w:val="004003F3"/>
    <w:rsid w:val="00406CF9"/>
    <w:rsid w:val="004202E8"/>
    <w:rsid w:val="00425E58"/>
    <w:rsid w:val="0042669A"/>
    <w:rsid w:val="004277D7"/>
    <w:rsid w:val="00427E5F"/>
    <w:rsid w:val="00430BD2"/>
    <w:rsid w:val="004351F0"/>
    <w:rsid w:val="00441CA2"/>
    <w:rsid w:val="00446A2A"/>
    <w:rsid w:val="004507C4"/>
    <w:rsid w:val="00452151"/>
    <w:rsid w:val="00452E61"/>
    <w:rsid w:val="0045473A"/>
    <w:rsid w:val="00465D57"/>
    <w:rsid w:val="00471A02"/>
    <w:rsid w:val="00474D07"/>
    <w:rsid w:val="00475F46"/>
    <w:rsid w:val="00476A23"/>
    <w:rsid w:val="00477C5D"/>
    <w:rsid w:val="00484727"/>
    <w:rsid w:val="00487658"/>
    <w:rsid w:val="004B0D17"/>
    <w:rsid w:val="004B2315"/>
    <w:rsid w:val="004C0FEC"/>
    <w:rsid w:val="004C6A09"/>
    <w:rsid w:val="004D0E56"/>
    <w:rsid w:val="004D344D"/>
    <w:rsid w:val="004D7A01"/>
    <w:rsid w:val="004E074B"/>
    <w:rsid w:val="004E2B3F"/>
    <w:rsid w:val="004E5E6E"/>
    <w:rsid w:val="004E72BE"/>
    <w:rsid w:val="004F03CC"/>
    <w:rsid w:val="004F75F5"/>
    <w:rsid w:val="005024DE"/>
    <w:rsid w:val="0050289A"/>
    <w:rsid w:val="00503801"/>
    <w:rsid w:val="00504C9B"/>
    <w:rsid w:val="00507277"/>
    <w:rsid w:val="00512861"/>
    <w:rsid w:val="00514464"/>
    <w:rsid w:val="00520DAD"/>
    <w:rsid w:val="00521D67"/>
    <w:rsid w:val="0052331F"/>
    <w:rsid w:val="00524232"/>
    <w:rsid w:val="00536106"/>
    <w:rsid w:val="00545591"/>
    <w:rsid w:val="005456AC"/>
    <w:rsid w:val="00552A9D"/>
    <w:rsid w:val="005546D7"/>
    <w:rsid w:val="00555024"/>
    <w:rsid w:val="00562693"/>
    <w:rsid w:val="0057440B"/>
    <w:rsid w:val="00580AA4"/>
    <w:rsid w:val="00580C14"/>
    <w:rsid w:val="005826DF"/>
    <w:rsid w:val="005870DD"/>
    <w:rsid w:val="005A0674"/>
    <w:rsid w:val="005A2DD0"/>
    <w:rsid w:val="005A4776"/>
    <w:rsid w:val="005A5074"/>
    <w:rsid w:val="005A5CF2"/>
    <w:rsid w:val="005B2FE5"/>
    <w:rsid w:val="005C6C5E"/>
    <w:rsid w:val="005D0B10"/>
    <w:rsid w:val="005D374E"/>
    <w:rsid w:val="005E032C"/>
    <w:rsid w:val="005E03E6"/>
    <w:rsid w:val="005E728B"/>
    <w:rsid w:val="005F27B2"/>
    <w:rsid w:val="005F5EF2"/>
    <w:rsid w:val="00607594"/>
    <w:rsid w:val="0061472F"/>
    <w:rsid w:val="00621435"/>
    <w:rsid w:val="00621B2A"/>
    <w:rsid w:val="00622F0B"/>
    <w:rsid w:val="00627376"/>
    <w:rsid w:val="0063671F"/>
    <w:rsid w:val="00641DA4"/>
    <w:rsid w:val="0065050C"/>
    <w:rsid w:val="00655147"/>
    <w:rsid w:val="00655FB2"/>
    <w:rsid w:val="00656F3F"/>
    <w:rsid w:val="00660FA5"/>
    <w:rsid w:val="00663BA4"/>
    <w:rsid w:val="00664AEB"/>
    <w:rsid w:val="00672027"/>
    <w:rsid w:val="00672B94"/>
    <w:rsid w:val="00672EFC"/>
    <w:rsid w:val="0068159D"/>
    <w:rsid w:val="00686055"/>
    <w:rsid w:val="0068608D"/>
    <w:rsid w:val="00692960"/>
    <w:rsid w:val="00692AF5"/>
    <w:rsid w:val="006946C9"/>
    <w:rsid w:val="006978D9"/>
    <w:rsid w:val="006A2C73"/>
    <w:rsid w:val="006B7399"/>
    <w:rsid w:val="006C5033"/>
    <w:rsid w:val="006C72F3"/>
    <w:rsid w:val="006D2296"/>
    <w:rsid w:val="006D6ED3"/>
    <w:rsid w:val="006E0A13"/>
    <w:rsid w:val="006E2868"/>
    <w:rsid w:val="006E2DB7"/>
    <w:rsid w:val="006E548C"/>
    <w:rsid w:val="006E593E"/>
    <w:rsid w:val="006F1693"/>
    <w:rsid w:val="006F2EEE"/>
    <w:rsid w:val="006F6600"/>
    <w:rsid w:val="007006E4"/>
    <w:rsid w:val="0070164A"/>
    <w:rsid w:val="0070723C"/>
    <w:rsid w:val="007127DE"/>
    <w:rsid w:val="007235F9"/>
    <w:rsid w:val="0073093B"/>
    <w:rsid w:val="00735052"/>
    <w:rsid w:val="007369C0"/>
    <w:rsid w:val="00736C1E"/>
    <w:rsid w:val="00740DAC"/>
    <w:rsid w:val="007421BC"/>
    <w:rsid w:val="00744F3E"/>
    <w:rsid w:val="00751558"/>
    <w:rsid w:val="0075355C"/>
    <w:rsid w:val="00754FF4"/>
    <w:rsid w:val="007656E0"/>
    <w:rsid w:val="00776CC3"/>
    <w:rsid w:val="00783825"/>
    <w:rsid w:val="007845B3"/>
    <w:rsid w:val="00793C3F"/>
    <w:rsid w:val="007A1717"/>
    <w:rsid w:val="007B58D7"/>
    <w:rsid w:val="007C2DAB"/>
    <w:rsid w:val="007D0FE8"/>
    <w:rsid w:val="007D2D8C"/>
    <w:rsid w:val="007D4E14"/>
    <w:rsid w:val="007D4ECB"/>
    <w:rsid w:val="007D5781"/>
    <w:rsid w:val="007E2111"/>
    <w:rsid w:val="007F06E3"/>
    <w:rsid w:val="007F29A4"/>
    <w:rsid w:val="007F320F"/>
    <w:rsid w:val="007F4503"/>
    <w:rsid w:val="00800E1F"/>
    <w:rsid w:val="0080240D"/>
    <w:rsid w:val="00804B2E"/>
    <w:rsid w:val="00805539"/>
    <w:rsid w:val="00807FE4"/>
    <w:rsid w:val="00812AAF"/>
    <w:rsid w:val="00820BB9"/>
    <w:rsid w:val="008216C6"/>
    <w:rsid w:val="00824FDA"/>
    <w:rsid w:val="00826117"/>
    <w:rsid w:val="00827D0C"/>
    <w:rsid w:val="00830CD0"/>
    <w:rsid w:val="00832DB3"/>
    <w:rsid w:val="008379BC"/>
    <w:rsid w:val="00845EE8"/>
    <w:rsid w:val="00852437"/>
    <w:rsid w:val="008546AD"/>
    <w:rsid w:val="008630A8"/>
    <w:rsid w:val="0086658A"/>
    <w:rsid w:val="008714A3"/>
    <w:rsid w:val="0087653F"/>
    <w:rsid w:val="0089150C"/>
    <w:rsid w:val="008928A7"/>
    <w:rsid w:val="00896A55"/>
    <w:rsid w:val="00897617"/>
    <w:rsid w:val="008A5FAE"/>
    <w:rsid w:val="008B0D88"/>
    <w:rsid w:val="008B5BCE"/>
    <w:rsid w:val="008B6089"/>
    <w:rsid w:val="008C141D"/>
    <w:rsid w:val="008C3363"/>
    <w:rsid w:val="008C3A4D"/>
    <w:rsid w:val="008D1AD1"/>
    <w:rsid w:val="008D1EF9"/>
    <w:rsid w:val="008E4E9D"/>
    <w:rsid w:val="008E783A"/>
    <w:rsid w:val="008F37FF"/>
    <w:rsid w:val="008F5ED0"/>
    <w:rsid w:val="00914DD4"/>
    <w:rsid w:val="00930935"/>
    <w:rsid w:val="00934ABC"/>
    <w:rsid w:val="00940556"/>
    <w:rsid w:val="00953FFA"/>
    <w:rsid w:val="00965CC3"/>
    <w:rsid w:val="0097091F"/>
    <w:rsid w:val="00972FFE"/>
    <w:rsid w:val="00981F88"/>
    <w:rsid w:val="00983203"/>
    <w:rsid w:val="00986D73"/>
    <w:rsid w:val="00993544"/>
    <w:rsid w:val="009A324A"/>
    <w:rsid w:val="009A54F3"/>
    <w:rsid w:val="009A5D32"/>
    <w:rsid w:val="009B0C3A"/>
    <w:rsid w:val="009B326B"/>
    <w:rsid w:val="009B569B"/>
    <w:rsid w:val="009B5B96"/>
    <w:rsid w:val="009C084C"/>
    <w:rsid w:val="009C4BE7"/>
    <w:rsid w:val="009E42D7"/>
    <w:rsid w:val="009E7122"/>
    <w:rsid w:val="009F0C0C"/>
    <w:rsid w:val="009F1EB8"/>
    <w:rsid w:val="009F2AA1"/>
    <w:rsid w:val="009F35C9"/>
    <w:rsid w:val="009F463A"/>
    <w:rsid w:val="009F78D1"/>
    <w:rsid w:val="00A0130E"/>
    <w:rsid w:val="00A07316"/>
    <w:rsid w:val="00A10CD4"/>
    <w:rsid w:val="00A10F26"/>
    <w:rsid w:val="00A10FCA"/>
    <w:rsid w:val="00A20BA3"/>
    <w:rsid w:val="00A2385C"/>
    <w:rsid w:val="00A36F82"/>
    <w:rsid w:val="00A435BC"/>
    <w:rsid w:val="00A4533C"/>
    <w:rsid w:val="00A453C7"/>
    <w:rsid w:val="00A53333"/>
    <w:rsid w:val="00A53E09"/>
    <w:rsid w:val="00A53E4F"/>
    <w:rsid w:val="00A5564D"/>
    <w:rsid w:val="00A5652F"/>
    <w:rsid w:val="00A646FE"/>
    <w:rsid w:val="00A700C4"/>
    <w:rsid w:val="00A75965"/>
    <w:rsid w:val="00A82C8A"/>
    <w:rsid w:val="00A84600"/>
    <w:rsid w:val="00A85681"/>
    <w:rsid w:val="00A8686C"/>
    <w:rsid w:val="00A87B33"/>
    <w:rsid w:val="00A92664"/>
    <w:rsid w:val="00AA5265"/>
    <w:rsid w:val="00AB41B1"/>
    <w:rsid w:val="00AB69ED"/>
    <w:rsid w:val="00AB6B08"/>
    <w:rsid w:val="00AC0B5A"/>
    <w:rsid w:val="00AD21BC"/>
    <w:rsid w:val="00AD3E3F"/>
    <w:rsid w:val="00AE07D5"/>
    <w:rsid w:val="00AE28E6"/>
    <w:rsid w:val="00AE315F"/>
    <w:rsid w:val="00AF010B"/>
    <w:rsid w:val="00B00079"/>
    <w:rsid w:val="00B11390"/>
    <w:rsid w:val="00B1225A"/>
    <w:rsid w:val="00B37A43"/>
    <w:rsid w:val="00B427A7"/>
    <w:rsid w:val="00B47283"/>
    <w:rsid w:val="00B54AFD"/>
    <w:rsid w:val="00B555C8"/>
    <w:rsid w:val="00B60B84"/>
    <w:rsid w:val="00B62A58"/>
    <w:rsid w:val="00B66424"/>
    <w:rsid w:val="00B75539"/>
    <w:rsid w:val="00B763F0"/>
    <w:rsid w:val="00B8341D"/>
    <w:rsid w:val="00B9287B"/>
    <w:rsid w:val="00B9314E"/>
    <w:rsid w:val="00B957DF"/>
    <w:rsid w:val="00BB311F"/>
    <w:rsid w:val="00BB543C"/>
    <w:rsid w:val="00BB55CB"/>
    <w:rsid w:val="00BB76F3"/>
    <w:rsid w:val="00BB7DCE"/>
    <w:rsid w:val="00BD077F"/>
    <w:rsid w:val="00BD135D"/>
    <w:rsid w:val="00BD29CF"/>
    <w:rsid w:val="00BD46B6"/>
    <w:rsid w:val="00BE5FF5"/>
    <w:rsid w:val="00BE7477"/>
    <w:rsid w:val="00BF31BF"/>
    <w:rsid w:val="00BF5B5A"/>
    <w:rsid w:val="00BF5EC5"/>
    <w:rsid w:val="00BF6153"/>
    <w:rsid w:val="00C0034F"/>
    <w:rsid w:val="00C04F52"/>
    <w:rsid w:val="00C17790"/>
    <w:rsid w:val="00C3208A"/>
    <w:rsid w:val="00C32E7A"/>
    <w:rsid w:val="00C4460E"/>
    <w:rsid w:val="00C463DF"/>
    <w:rsid w:val="00C51C45"/>
    <w:rsid w:val="00C53150"/>
    <w:rsid w:val="00C60375"/>
    <w:rsid w:val="00C810A7"/>
    <w:rsid w:val="00C93659"/>
    <w:rsid w:val="00C94FBE"/>
    <w:rsid w:val="00C9734D"/>
    <w:rsid w:val="00CA1D1F"/>
    <w:rsid w:val="00CA309C"/>
    <w:rsid w:val="00CA3178"/>
    <w:rsid w:val="00CA594B"/>
    <w:rsid w:val="00CA6804"/>
    <w:rsid w:val="00CA79EF"/>
    <w:rsid w:val="00CB0203"/>
    <w:rsid w:val="00CB29D7"/>
    <w:rsid w:val="00CB5141"/>
    <w:rsid w:val="00CD0070"/>
    <w:rsid w:val="00CD1141"/>
    <w:rsid w:val="00CE045E"/>
    <w:rsid w:val="00CE0D41"/>
    <w:rsid w:val="00CE47B9"/>
    <w:rsid w:val="00D0336D"/>
    <w:rsid w:val="00D034C3"/>
    <w:rsid w:val="00D06266"/>
    <w:rsid w:val="00D075FC"/>
    <w:rsid w:val="00D15628"/>
    <w:rsid w:val="00D374A4"/>
    <w:rsid w:val="00D43A8C"/>
    <w:rsid w:val="00D500DB"/>
    <w:rsid w:val="00D521AD"/>
    <w:rsid w:val="00D53476"/>
    <w:rsid w:val="00D63BFD"/>
    <w:rsid w:val="00D64EED"/>
    <w:rsid w:val="00D67D43"/>
    <w:rsid w:val="00D7429C"/>
    <w:rsid w:val="00D84FA9"/>
    <w:rsid w:val="00D86B02"/>
    <w:rsid w:val="00D90287"/>
    <w:rsid w:val="00D92BD5"/>
    <w:rsid w:val="00D95FFB"/>
    <w:rsid w:val="00DA7ED9"/>
    <w:rsid w:val="00DB0D9E"/>
    <w:rsid w:val="00DB17B0"/>
    <w:rsid w:val="00DB2521"/>
    <w:rsid w:val="00DB3CAA"/>
    <w:rsid w:val="00DB75DB"/>
    <w:rsid w:val="00DC3C12"/>
    <w:rsid w:val="00DD2CA0"/>
    <w:rsid w:val="00DD44BC"/>
    <w:rsid w:val="00DD5EF3"/>
    <w:rsid w:val="00DE4578"/>
    <w:rsid w:val="00DF3B11"/>
    <w:rsid w:val="00DF4BCB"/>
    <w:rsid w:val="00E02F65"/>
    <w:rsid w:val="00E05C29"/>
    <w:rsid w:val="00E064CA"/>
    <w:rsid w:val="00E07D6F"/>
    <w:rsid w:val="00E117CA"/>
    <w:rsid w:val="00E17933"/>
    <w:rsid w:val="00E36453"/>
    <w:rsid w:val="00E37B24"/>
    <w:rsid w:val="00E40256"/>
    <w:rsid w:val="00E40AA1"/>
    <w:rsid w:val="00E42DB6"/>
    <w:rsid w:val="00E43E27"/>
    <w:rsid w:val="00E656D5"/>
    <w:rsid w:val="00E72F1C"/>
    <w:rsid w:val="00E7752E"/>
    <w:rsid w:val="00E8039A"/>
    <w:rsid w:val="00E80759"/>
    <w:rsid w:val="00E80CF3"/>
    <w:rsid w:val="00E814B3"/>
    <w:rsid w:val="00E83262"/>
    <w:rsid w:val="00E84A34"/>
    <w:rsid w:val="00E934D0"/>
    <w:rsid w:val="00E94F46"/>
    <w:rsid w:val="00E97B2C"/>
    <w:rsid w:val="00E97EAE"/>
    <w:rsid w:val="00EA32B5"/>
    <w:rsid w:val="00EA4EB9"/>
    <w:rsid w:val="00EC63DF"/>
    <w:rsid w:val="00ED1FE9"/>
    <w:rsid w:val="00ED6D72"/>
    <w:rsid w:val="00EE0703"/>
    <w:rsid w:val="00EE26DB"/>
    <w:rsid w:val="00EF30CD"/>
    <w:rsid w:val="00EF40DA"/>
    <w:rsid w:val="00F006E6"/>
    <w:rsid w:val="00F101A4"/>
    <w:rsid w:val="00F1370B"/>
    <w:rsid w:val="00F162C4"/>
    <w:rsid w:val="00F23727"/>
    <w:rsid w:val="00F31D79"/>
    <w:rsid w:val="00F34346"/>
    <w:rsid w:val="00F35F2A"/>
    <w:rsid w:val="00F37476"/>
    <w:rsid w:val="00F42E48"/>
    <w:rsid w:val="00F4361A"/>
    <w:rsid w:val="00F50280"/>
    <w:rsid w:val="00F60474"/>
    <w:rsid w:val="00F65425"/>
    <w:rsid w:val="00F67E63"/>
    <w:rsid w:val="00F7724C"/>
    <w:rsid w:val="00F83AEB"/>
    <w:rsid w:val="00F95E41"/>
    <w:rsid w:val="00F97872"/>
    <w:rsid w:val="00FA3D46"/>
    <w:rsid w:val="00FA4E17"/>
    <w:rsid w:val="00FB6804"/>
    <w:rsid w:val="00FC0E5E"/>
    <w:rsid w:val="00FC291D"/>
    <w:rsid w:val="00FD0414"/>
    <w:rsid w:val="00FD17B6"/>
    <w:rsid w:val="00FD58E3"/>
    <w:rsid w:val="00FE4F86"/>
    <w:rsid w:val="00FE63AB"/>
    <w:rsid w:val="00FE79DF"/>
    <w:rsid w:val="00FF3561"/>
    <w:rsid w:val="00FF3B9E"/>
    <w:rsid w:val="00FF5D20"/>
    <w:rsid w:val="04B20E51"/>
    <w:rsid w:val="06B70693"/>
    <w:rsid w:val="0C6B2156"/>
    <w:rsid w:val="10183232"/>
    <w:rsid w:val="22663129"/>
    <w:rsid w:val="232D2A32"/>
    <w:rsid w:val="2D7A1D40"/>
    <w:rsid w:val="314B0F8E"/>
    <w:rsid w:val="33BE3123"/>
    <w:rsid w:val="36984B02"/>
    <w:rsid w:val="40D470E9"/>
    <w:rsid w:val="44600A03"/>
    <w:rsid w:val="4DE0202D"/>
    <w:rsid w:val="59BA0AF4"/>
    <w:rsid w:val="5BD316F9"/>
    <w:rsid w:val="66C14D3E"/>
    <w:rsid w:val="74E848D8"/>
    <w:rsid w:val="7B3775AC"/>
    <w:rsid w:val="7E1B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F50280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F50280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502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5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qFormat/>
    <w:rsid w:val="00F502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F50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50280"/>
  </w:style>
  <w:style w:type="character" w:styleId="aa">
    <w:name w:val="Hyperlink"/>
    <w:basedOn w:val="a0"/>
    <w:uiPriority w:val="99"/>
    <w:semiHidden/>
    <w:unhideWhenUsed/>
    <w:qFormat/>
    <w:rsid w:val="00F50280"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sid w:val="00F5028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50280"/>
  </w:style>
  <w:style w:type="character" w:customStyle="1" w:styleId="Char2">
    <w:name w:val="页眉 Char"/>
    <w:link w:val="a6"/>
    <w:uiPriority w:val="99"/>
    <w:qFormat/>
    <w:rsid w:val="00F50280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F50280"/>
    <w:rPr>
      <w:sz w:val="18"/>
      <w:szCs w:val="18"/>
    </w:rPr>
  </w:style>
  <w:style w:type="paragraph" w:customStyle="1" w:styleId="Default">
    <w:name w:val="Default"/>
    <w:rsid w:val="00F502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F5028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Char1">
    <w:name w:val="Char Char1"/>
    <w:basedOn w:val="a"/>
    <w:qFormat/>
    <w:rsid w:val="00F50280"/>
    <w:pPr>
      <w:widowControl/>
      <w:spacing w:after="160" w:line="240" w:lineRule="exact"/>
      <w:jc w:val="left"/>
    </w:pPr>
    <w:rPr>
      <w:szCs w:val="24"/>
    </w:rPr>
  </w:style>
  <w:style w:type="paragraph" w:customStyle="1" w:styleId="Char3">
    <w:name w:val="Char"/>
    <w:basedOn w:val="a"/>
    <w:rsid w:val="00F50280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1507</Characters>
  <Application>Microsoft Office Word</Application>
  <DocSecurity>0</DocSecurity>
  <Lines>502</Lines>
  <Paragraphs>376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2017年1月份辖区水上交通事故统计分析</dc:title>
  <dc:creator>wzh</dc:creator>
  <cp:lastModifiedBy>吴勤民</cp:lastModifiedBy>
  <cp:revision>2</cp:revision>
  <cp:lastPrinted>2019-11-04T02:27:00Z</cp:lastPrinted>
  <dcterms:created xsi:type="dcterms:W3CDTF">2019-12-24T13:42:00Z</dcterms:created>
  <dcterms:modified xsi:type="dcterms:W3CDTF">2019-12-24T13:42:00Z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