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ind w:right="-153" w:rightChars="-73"/>
        <w:jc w:val="center"/>
        <w:rPr>
          <w:rFonts w:ascii="宋体" w:hAnsi="宋体" w:cs="Arial"/>
          <w:b/>
          <w:bCs/>
          <w:sz w:val="36"/>
          <w:szCs w:val="24"/>
        </w:rPr>
      </w:pPr>
      <w:r>
        <w:rPr>
          <w:rFonts w:hint="eastAsia" w:ascii="宋体" w:hAnsi="宋体" w:cs="Arial"/>
          <w:b/>
          <w:bCs/>
          <w:sz w:val="36"/>
          <w:szCs w:val="24"/>
        </w:rPr>
        <w:t>2019年12月份辖区水上交通事故统计分析</w:t>
      </w:r>
    </w:p>
    <w:p>
      <w:pPr>
        <w:rPr>
          <w:rFonts w:ascii="宋体" w:hAnsi="宋体"/>
          <w:b/>
          <w:bCs/>
          <w:sz w:val="30"/>
          <w:szCs w:val="28"/>
        </w:rPr>
      </w:pPr>
    </w:p>
    <w:p>
      <w:pPr>
        <w:ind w:firstLine="630" w:firstLineChars="196"/>
        <w:rPr>
          <w:rFonts w:ascii="仿宋_GB2312" w:hAnsi="宋体" w:eastAsia="仿宋_GB2312" w:cs="Arial"/>
          <w:b/>
          <w:sz w:val="32"/>
          <w:szCs w:val="32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>一、辖区事故概况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月份辖区发生一般等级及以上水上交通事故1件，未造成人员死亡失踪，沉船2艘，直接经济损失700万元，同比事故件数下降80%、死亡失踪减少2人、沉船艘数下降33.3%、直接经济损失下降42.6%。本月辖区未发生较大等级事故、重大等级事故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其中：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运输船舶发生一般等级事故0.5件，死亡失踪0人、沉船1艘、直接经济损失200万元。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非运输船舶发生一般等级事故0.5件，死亡失踪0人、沉船1艘、直接经济损失500万元。</w:t>
      </w:r>
    </w:p>
    <w:p>
      <w:pPr>
        <w:spacing w:line="360" w:lineRule="auto"/>
        <w:ind w:firstLine="636" w:firstLineChars="1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砂石运输船舶发生一般等级事故0.5件，死亡失踪0人，沉船1艘，直接经济损失200万元。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渔船发生一般等级事故0.5件，死亡失踪0人、沉船1艘、直接经济损失500万元。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客运船舶未发生一般等级及以上事故。</w:t>
      </w:r>
    </w:p>
    <w:p>
      <w:pPr>
        <w:spacing w:line="360" w:lineRule="auto"/>
        <w:ind w:firstLine="636" w:firstLineChars="1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非五星红旗船舶未发生一般等级及以上事故。</w:t>
      </w:r>
    </w:p>
    <w:p>
      <w:pPr>
        <w:spacing w:line="360" w:lineRule="auto"/>
        <w:ind w:firstLine="636" w:firstLineChars="1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内河船舶发生一般等级事故0.5件，死亡失踪0人，沉船1艘，直接经济损失200万元。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“三无船舶”未发生一般等级及以上事故。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12月份发生水上交通小事故10件，同比增加1件、上升11.1%。 </w:t>
      </w:r>
    </w:p>
    <w:p>
      <w:pPr>
        <w:spacing w:line="360" w:lineRule="auto"/>
        <w:ind w:firstLine="643" w:firstLineChars="200"/>
        <w:rPr>
          <w:rFonts w:ascii="宋体" w:hAnsi="宋体"/>
          <w:b/>
          <w:sz w:val="30"/>
          <w:szCs w:val="30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>（一）一般等级及以上事故四项指标同比“全面下降”、环比“三升一持平”、累计同比“全面下降”。</w:t>
      </w:r>
    </w:p>
    <w:tbl>
      <w:tblPr>
        <w:tblStyle w:val="7"/>
        <w:tblpPr w:leftFromText="180" w:rightFromText="180" w:vertAnchor="text" w:horzAnchor="page" w:tblpX="1765" w:tblpY="14"/>
        <w:tblOverlap w:val="never"/>
        <w:tblW w:w="8754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155"/>
        <w:gridCol w:w="1295"/>
        <w:gridCol w:w="1363"/>
        <w:gridCol w:w="1247"/>
        <w:gridCol w:w="204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48" w:type="dxa"/>
            <w:tcBorders>
              <w:left w:val="double" w:color="auto" w:sz="4" w:space="0"/>
              <w:bottom w:val="doub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5" w:type="dxa"/>
            <w:tcBorders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统计期</w:t>
            </w:r>
          </w:p>
        </w:tc>
        <w:tc>
          <w:tcPr>
            <w:tcW w:w="1295" w:type="dxa"/>
            <w:tcBorders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事故件数</w:t>
            </w:r>
          </w:p>
        </w:tc>
        <w:tc>
          <w:tcPr>
            <w:tcW w:w="1363" w:type="dxa"/>
            <w:tcBorders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死亡失踪</w:t>
            </w:r>
          </w:p>
        </w:tc>
        <w:tc>
          <w:tcPr>
            <w:tcW w:w="1247" w:type="dxa"/>
            <w:tcBorders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沉船艘数</w:t>
            </w:r>
          </w:p>
        </w:tc>
        <w:tc>
          <w:tcPr>
            <w:tcW w:w="2046" w:type="dxa"/>
            <w:tcBorders>
              <w:left w:val="single" w:color="auto" w:sz="6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经济损失(万元)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648" w:type="dxa"/>
            <w:vMerge w:val="restart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一般等级及以上事故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5" w:type="dxa"/>
            <w:tcBorders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2019年12月份</w:t>
            </w:r>
          </w:p>
        </w:tc>
        <w:tc>
          <w:tcPr>
            <w:tcW w:w="1295" w:type="dxa"/>
            <w:tcBorders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</w:p>
        </w:tc>
        <w:tc>
          <w:tcPr>
            <w:tcW w:w="1363" w:type="dxa"/>
            <w:tcBorders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  <w:tc>
          <w:tcPr>
            <w:tcW w:w="1247" w:type="dxa"/>
            <w:tcBorders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</w:t>
            </w:r>
          </w:p>
        </w:tc>
        <w:tc>
          <w:tcPr>
            <w:tcW w:w="2046" w:type="dxa"/>
            <w:tcBorders>
              <w:left w:val="single" w:color="auto" w:sz="6" w:space="0"/>
              <w:bottom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700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648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2018年12月份</w:t>
            </w:r>
          </w:p>
        </w:tc>
        <w:tc>
          <w:tcPr>
            <w:tcW w:w="1295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</w:t>
            </w:r>
          </w:p>
        </w:tc>
        <w:tc>
          <w:tcPr>
            <w:tcW w:w="1363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</w:t>
            </w:r>
          </w:p>
        </w:tc>
        <w:tc>
          <w:tcPr>
            <w:tcW w:w="1247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</w:t>
            </w:r>
          </w:p>
        </w:tc>
        <w:tc>
          <w:tcPr>
            <w:tcW w:w="2046" w:type="dxa"/>
            <w:tcBorders>
              <w:top w:val="inset" w:color="auto" w:sz="6" w:space="0"/>
              <w:left w:val="single" w:color="auto" w:sz="6" w:space="0"/>
              <w:bottom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1219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648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同  比（%）</w:t>
            </w:r>
          </w:p>
        </w:tc>
        <w:tc>
          <w:tcPr>
            <w:tcW w:w="1295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-80</w:t>
            </w:r>
          </w:p>
        </w:tc>
        <w:tc>
          <w:tcPr>
            <w:tcW w:w="1363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0:2</w:t>
            </w:r>
          </w:p>
        </w:tc>
        <w:tc>
          <w:tcPr>
            <w:tcW w:w="1247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-33.3</w:t>
            </w:r>
          </w:p>
        </w:tc>
        <w:tc>
          <w:tcPr>
            <w:tcW w:w="2046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-42.6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48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double" w:color="auto" w:sz="4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2019年11月份</w:t>
            </w:r>
          </w:p>
        </w:tc>
        <w:tc>
          <w:tcPr>
            <w:tcW w:w="1295" w:type="dxa"/>
            <w:tcBorders>
              <w:top w:val="double" w:color="auto" w:sz="4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  <w:tc>
          <w:tcPr>
            <w:tcW w:w="1363" w:type="dxa"/>
            <w:tcBorders>
              <w:top w:val="double" w:color="auto" w:sz="4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  <w:tc>
          <w:tcPr>
            <w:tcW w:w="1247" w:type="dxa"/>
            <w:tcBorders>
              <w:top w:val="double" w:color="auto" w:sz="4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  <w:tc>
          <w:tcPr>
            <w:tcW w:w="2046" w:type="dxa"/>
            <w:tcBorders>
              <w:top w:val="double" w:color="auto" w:sz="4" w:space="0"/>
              <w:left w:val="single" w:color="auto" w:sz="6" w:space="0"/>
              <w:bottom w:val="inset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648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环 比（%）</w:t>
            </w:r>
          </w:p>
        </w:tc>
        <w:tc>
          <w:tcPr>
            <w:tcW w:w="1295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1:0</w:t>
            </w:r>
          </w:p>
        </w:tc>
        <w:tc>
          <w:tcPr>
            <w:tcW w:w="1363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/</w:t>
            </w:r>
          </w:p>
        </w:tc>
        <w:tc>
          <w:tcPr>
            <w:tcW w:w="1247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2:0</w:t>
            </w:r>
          </w:p>
        </w:tc>
        <w:tc>
          <w:tcPr>
            <w:tcW w:w="2046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700: 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648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double" w:color="auto" w:sz="4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2019年1-12月</w:t>
            </w:r>
          </w:p>
        </w:tc>
        <w:tc>
          <w:tcPr>
            <w:tcW w:w="1295" w:type="dxa"/>
            <w:tcBorders>
              <w:top w:val="double" w:color="auto" w:sz="4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23</w:t>
            </w:r>
          </w:p>
        </w:tc>
        <w:tc>
          <w:tcPr>
            <w:tcW w:w="1363" w:type="dxa"/>
            <w:tcBorders>
              <w:top w:val="double" w:color="auto" w:sz="4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45</w:t>
            </w:r>
          </w:p>
        </w:tc>
        <w:tc>
          <w:tcPr>
            <w:tcW w:w="1247" w:type="dxa"/>
            <w:tcBorders>
              <w:top w:val="double" w:color="auto" w:sz="4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17</w:t>
            </w:r>
          </w:p>
        </w:tc>
        <w:tc>
          <w:tcPr>
            <w:tcW w:w="2046" w:type="dxa"/>
            <w:tcBorders>
              <w:top w:val="double" w:color="auto" w:sz="4" w:space="0"/>
              <w:left w:val="single" w:color="auto" w:sz="6" w:space="0"/>
              <w:bottom w:val="inset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5556.35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648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2018年1-12月</w:t>
            </w:r>
          </w:p>
        </w:tc>
        <w:tc>
          <w:tcPr>
            <w:tcW w:w="1295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35</w:t>
            </w:r>
          </w:p>
        </w:tc>
        <w:tc>
          <w:tcPr>
            <w:tcW w:w="1363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53</w:t>
            </w:r>
          </w:p>
        </w:tc>
        <w:tc>
          <w:tcPr>
            <w:tcW w:w="1247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23</w:t>
            </w:r>
          </w:p>
        </w:tc>
        <w:tc>
          <w:tcPr>
            <w:tcW w:w="2046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8304.65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648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累计同比（%）</w:t>
            </w:r>
          </w:p>
        </w:tc>
        <w:tc>
          <w:tcPr>
            <w:tcW w:w="1295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-34.3</w:t>
            </w:r>
          </w:p>
        </w:tc>
        <w:tc>
          <w:tcPr>
            <w:tcW w:w="1363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-11.8</w:t>
            </w:r>
          </w:p>
        </w:tc>
        <w:tc>
          <w:tcPr>
            <w:tcW w:w="1247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-26.1</w:t>
            </w:r>
          </w:p>
        </w:tc>
        <w:tc>
          <w:tcPr>
            <w:tcW w:w="2046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-33.1</w:t>
            </w:r>
          </w:p>
        </w:tc>
      </w:tr>
    </w:tbl>
    <w:p>
      <w:pPr>
        <w:spacing w:line="360" w:lineRule="auto"/>
        <w:ind w:firstLine="315" w:firstLineChars="98"/>
        <w:rPr>
          <w:rFonts w:ascii="仿宋_GB2312" w:hAnsi="宋体" w:eastAsia="仿宋_GB2312" w:cs="Arial"/>
          <w:b/>
          <w:sz w:val="32"/>
          <w:szCs w:val="32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 xml:space="preserve">  (二）运输船舶一般等级及以上事故四项指标同比“全面下降”、环比“三升一持平”、累计同比“三降一升”。</w:t>
      </w:r>
    </w:p>
    <w:tbl>
      <w:tblPr>
        <w:tblStyle w:val="7"/>
        <w:tblpPr w:leftFromText="180" w:rightFromText="180" w:vertAnchor="text" w:horzAnchor="page" w:tblpX="1634" w:tblpY="190"/>
        <w:tblOverlap w:val="never"/>
        <w:tblW w:w="8976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206"/>
        <w:gridCol w:w="1375"/>
        <w:gridCol w:w="1284"/>
        <w:gridCol w:w="1256"/>
        <w:gridCol w:w="20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20" w:type="dxa"/>
            <w:tcBorders>
              <w:left w:val="double" w:color="auto" w:sz="4" w:space="0"/>
              <w:bottom w:val="doub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6" w:type="dxa"/>
            <w:tcBorders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统计期</w:t>
            </w:r>
          </w:p>
        </w:tc>
        <w:tc>
          <w:tcPr>
            <w:tcW w:w="1375" w:type="dxa"/>
            <w:tcBorders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事故件数</w:t>
            </w:r>
          </w:p>
        </w:tc>
        <w:tc>
          <w:tcPr>
            <w:tcW w:w="1284" w:type="dxa"/>
            <w:tcBorders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死亡失踪</w:t>
            </w:r>
          </w:p>
        </w:tc>
        <w:tc>
          <w:tcPr>
            <w:tcW w:w="1256" w:type="dxa"/>
            <w:tcBorders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沉船艘数</w:t>
            </w:r>
          </w:p>
        </w:tc>
        <w:tc>
          <w:tcPr>
            <w:tcW w:w="2035" w:type="dxa"/>
            <w:tcBorders>
              <w:left w:val="single" w:color="auto" w:sz="6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经济损失(万元)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820" w:type="dxa"/>
            <w:vMerge w:val="restart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运输船舶事故</w:t>
            </w:r>
          </w:p>
        </w:tc>
        <w:tc>
          <w:tcPr>
            <w:tcW w:w="220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2019年12月份</w:t>
            </w:r>
          </w:p>
        </w:tc>
        <w:tc>
          <w:tcPr>
            <w:tcW w:w="137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0.5</w:t>
            </w:r>
          </w:p>
        </w:tc>
        <w:tc>
          <w:tcPr>
            <w:tcW w:w="128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  <w:tc>
          <w:tcPr>
            <w:tcW w:w="125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</w:p>
        </w:tc>
        <w:tc>
          <w:tcPr>
            <w:tcW w:w="2035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20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2018年12月份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</w:t>
            </w:r>
          </w:p>
        </w:tc>
        <w:tc>
          <w:tcPr>
            <w:tcW w:w="12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</w:t>
            </w:r>
          </w:p>
        </w:tc>
        <w:tc>
          <w:tcPr>
            <w:tcW w:w="2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1215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20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6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同  比（%）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-87.5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0:2</w:t>
            </w:r>
          </w:p>
        </w:tc>
        <w:tc>
          <w:tcPr>
            <w:tcW w:w="1256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-66.7</w:t>
            </w:r>
          </w:p>
        </w:tc>
        <w:tc>
          <w:tcPr>
            <w:tcW w:w="2035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</w:tcBorders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-83.5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20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6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2019年11月份</w:t>
            </w:r>
          </w:p>
        </w:tc>
        <w:tc>
          <w:tcPr>
            <w:tcW w:w="1375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  <w:tc>
          <w:tcPr>
            <w:tcW w:w="1256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  <w:tc>
          <w:tcPr>
            <w:tcW w:w="2035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820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6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环 比（%）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0.5:0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/</w:t>
            </w:r>
          </w:p>
        </w:tc>
        <w:tc>
          <w:tcPr>
            <w:tcW w:w="1256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1:0</w:t>
            </w:r>
          </w:p>
        </w:tc>
        <w:tc>
          <w:tcPr>
            <w:tcW w:w="2035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200: 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820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6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2019年1-12月</w:t>
            </w:r>
          </w:p>
        </w:tc>
        <w:tc>
          <w:tcPr>
            <w:tcW w:w="1375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18.5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30</w:t>
            </w:r>
          </w:p>
        </w:tc>
        <w:tc>
          <w:tcPr>
            <w:tcW w:w="1256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13</w:t>
            </w:r>
          </w:p>
        </w:tc>
        <w:tc>
          <w:tcPr>
            <w:tcW w:w="2035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4746.35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820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2018年1-12月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27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28</w:t>
            </w:r>
          </w:p>
        </w:tc>
        <w:tc>
          <w:tcPr>
            <w:tcW w:w="12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18</w:t>
            </w:r>
          </w:p>
        </w:tc>
        <w:tc>
          <w:tcPr>
            <w:tcW w:w="2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7470.65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820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6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累计同比（%）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-31.5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+7.1</w:t>
            </w:r>
          </w:p>
        </w:tc>
        <w:tc>
          <w:tcPr>
            <w:tcW w:w="1256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-27.8</w:t>
            </w:r>
          </w:p>
        </w:tc>
        <w:tc>
          <w:tcPr>
            <w:tcW w:w="2035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-36.5</w:t>
            </w:r>
          </w:p>
        </w:tc>
      </w:tr>
    </w:tbl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（三）辖区死亡失踪3人及以上较大、重特大事故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12月份，我局辖区未发生死亡失踪3人及以上水上交通事故。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1-12月份，我局辖区发生死亡失踪3人及以上水上交通事故7件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 xml:space="preserve">其中较大等级商渔船碰撞事故4件、商船之间碰撞事故2件、触碰事故1件；死亡失踪34人，其中商船人员死亡失踪24人、渔船人员死亡失踪10人。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</w:t>
      </w:r>
      <w:r>
        <w:rPr>
          <w:rFonts w:hint="eastAsia" w:ascii="仿宋_GB2312" w:hAnsi="宋体" w:eastAsia="仿宋_GB2312" w:cs="Arial"/>
          <w:b/>
          <w:sz w:val="32"/>
          <w:szCs w:val="32"/>
        </w:rPr>
        <w:t>（</w:t>
      </w:r>
      <w:r>
        <w:rPr>
          <w:rFonts w:hint="eastAsia" w:ascii="仿宋_GB2312" w:hAnsi="宋体" w:eastAsia="仿宋_GB2312" w:cs="Arial"/>
          <w:b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 w:cs="Arial"/>
          <w:b/>
          <w:sz w:val="32"/>
          <w:szCs w:val="32"/>
        </w:rPr>
        <w:t>）各分支局辖区事故分布统计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12月份宁波辖区发生一般等级事故1件、未造成人员死亡失踪、沉船2艘、直接经济损失700万元；舟山、温州、台州、嘉兴和杭州等辖区未发生一般等级及以上事故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tbl>
      <w:tblPr>
        <w:tblStyle w:val="7"/>
        <w:tblpPr w:leftFromText="180" w:rightFromText="180" w:vertAnchor="text" w:horzAnchor="page" w:tblpX="1380" w:tblpY="207"/>
        <w:tblOverlap w:val="never"/>
        <w:tblW w:w="968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33"/>
        <w:gridCol w:w="677"/>
        <w:gridCol w:w="560"/>
        <w:gridCol w:w="705"/>
        <w:gridCol w:w="705"/>
        <w:gridCol w:w="640"/>
        <w:gridCol w:w="596"/>
        <w:gridCol w:w="882"/>
        <w:gridCol w:w="882"/>
        <w:gridCol w:w="798"/>
        <w:gridCol w:w="787"/>
        <w:gridCol w:w="93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83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5" w:type="dxa"/>
            <w:gridSpan w:val="4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2019年12月事故四项指标</w:t>
            </w:r>
          </w:p>
        </w:tc>
        <w:tc>
          <w:tcPr>
            <w:tcW w:w="2823" w:type="dxa"/>
            <w:gridSpan w:val="4"/>
            <w:tcBorders>
              <w:left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2018年12月故四项指标</w:t>
            </w:r>
          </w:p>
        </w:tc>
        <w:tc>
          <w:tcPr>
            <w:tcW w:w="3399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同比（%）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783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事故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件数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失踪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死亡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沉船</w:t>
            </w:r>
          </w:p>
        </w:tc>
        <w:tc>
          <w:tcPr>
            <w:tcW w:w="70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经济损失</w:t>
            </w:r>
          </w:p>
        </w:tc>
        <w:tc>
          <w:tcPr>
            <w:tcW w:w="705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事故件数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失踪死亡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沉船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艘数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损失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事故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件数</w:t>
            </w:r>
          </w:p>
        </w:tc>
        <w:tc>
          <w:tcPr>
            <w:tcW w:w="79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失踪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死亡</w:t>
            </w:r>
          </w:p>
        </w:tc>
        <w:tc>
          <w:tcPr>
            <w:tcW w:w="78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沉船艘数</w:t>
            </w:r>
          </w:p>
        </w:tc>
        <w:tc>
          <w:tcPr>
            <w:tcW w:w="93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损失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70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700</w:t>
            </w:r>
          </w:p>
        </w:tc>
        <w:tc>
          <w:tcPr>
            <w:tcW w:w="705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510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-50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0:1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+100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+37.3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舟山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554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0:2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0:1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0:2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0:554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温州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台州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嘉兴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155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0:1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/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0:155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杭州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hAnsi="宋体" w:eastAsia="仿宋_GB2312" w:cs="Arial"/>
          <w:b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2）</w:t>
      </w:r>
      <w:r>
        <w:rPr>
          <w:rFonts w:hint="eastAsia" w:ascii="仿宋_GB2312" w:eastAsia="仿宋_GB2312"/>
          <w:sz w:val="32"/>
          <w:szCs w:val="32"/>
        </w:rPr>
        <w:t>1-12月份累计：宁波局辖区发生一般等级及以上事故8件（较大等级事故4件、一般等级事故4件）、死亡失踪19人、沉船7艘、直接经济损失约2231.35万元；舟山局辖区发生一般等级及以上事故10件（较大等级事故2件、一般等级事故8件）、死亡失踪18人、沉船7艘、直接经济损失约2912万元；温州局辖区发生一般等级及以上事故3件（较大等级事故1件、一般等级事故2件）、死亡失踪7人、沉船3艘、直接经济损失103万元；台州局辖区发生一般等级事故2件、死亡失踪1人、无船舶沉没、直接经济损失约310万元；嘉兴和杭州局辖区未发生一般等级及以上事故。</w:t>
      </w:r>
    </w:p>
    <w:tbl>
      <w:tblPr>
        <w:tblStyle w:val="7"/>
        <w:tblpPr w:leftFromText="180" w:rightFromText="180" w:vertAnchor="text" w:horzAnchor="page" w:tblpX="1380" w:tblpY="207"/>
        <w:tblOverlap w:val="never"/>
        <w:tblW w:w="968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33"/>
        <w:gridCol w:w="677"/>
        <w:gridCol w:w="560"/>
        <w:gridCol w:w="757"/>
        <w:gridCol w:w="653"/>
        <w:gridCol w:w="640"/>
        <w:gridCol w:w="596"/>
        <w:gridCol w:w="882"/>
        <w:gridCol w:w="882"/>
        <w:gridCol w:w="798"/>
        <w:gridCol w:w="787"/>
        <w:gridCol w:w="93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8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27" w:type="dxa"/>
            <w:gridSpan w:val="4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2019年1-12月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事故四项指标</w:t>
            </w:r>
          </w:p>
        </w:tc>
        <w:tc>
          <w:tcPr>
            <w:tcW w:w="2771" w:type="dxa"/>
            <w:gridSpan w:val="4"/>
            <w:tcBorders>
              <w:left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2018年1-12月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事故四项指标</w:t>
            </w:r>
          </w:p>
        </w:tc>
        <w:tc>
          <w:tcPr>
            <w:tcW w:w="3399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同比（%）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7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事故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件数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失踪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死亡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沉船</w:t>
            </w:r>
          </w:p>
        </w:tc>
        <w:tc>
          <w:tcPr>
            <w:tcW w:w="757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经济损失</w:t>
            </w:r>
          </w:p>
        </w:tc>
        <w:tc>
          <w:tcPr>
            <w:tcW w:w="65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事故件数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失踪死亡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沉船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艘数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损失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事故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件数</w:t>
            </w:r>
          </w:p>
        </w:tc>
        <w:tc>
          <w:tcPr>
            <w:tcW w:w="79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失踪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死亡</w:t>
            </w:r>
          </w:p>
        </w:tc>
        <w:tc>
          <w:tcPr>
            <w:tcW w:w="78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沉船艘数</w:t>
            </w:r>
          </w:p>
        </w:tc>
        <w:tc>
          <w:tcPr>
            <w:tcW w:w="93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损失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8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7</w:t>
            </w:r>
          </w:p>
        </w:tc>
        <w:tc>
          <w:tcPr>
            <w:tcW w:w="757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2231.35</w:t>
            </w:r>
          </w:p>
        </w:tc>
        <w:tc>
          <w:tcPr>
            <w:tcW w:w="65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7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14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1708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+14.3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+35.7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+75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+30.6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舟山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18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7</w:t>
            </w:r>
          </w:p>
        </w:tc>
        <w:tc>
          <w:tcPr>
            <w:tcW w:w="757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2912</w:t>
            </w:r>
          </w:p>
        </w:tc>
        <w:tc>
          <w:tcPr>
            <w:tcW w:w="65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3915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-23.1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+5.9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-30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-25.6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温州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7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757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103</w:t>
            </w:r>
          </w:p>
        </w:tc>
        <w:tc>
          <w:tcPr>
            <w:tcW w:w="65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16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1430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-66.7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-56.3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-40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-92.8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台州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57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310</w:t>
            </w:r>
          </w:p>
        </w:tc>
        <w:tc>
          <w:tcPr>
            <w:tcW w:w="65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270.65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-33.3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-83.3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0:2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+14.5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嘉兴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57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5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866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0:2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0:1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0:866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杭州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57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5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115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0:1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0:1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0:115</w:t>
            </w:r>
          </w:p>
        </w:tc>
      </w:tr>
    </w:tbl>
    <w:p>
      <w:pPr>
        <w:spacing w:line="600" w:lineRule="exact"/>
        <w:ind w:firstLine="643" w:firstLineChars="200"/>
        <w:rPr>
          <w:rFonts w:ascii="宋体" w:hAnsi="宋体" w:cs="Arial"/>
          <w:b/>
          <w:sz w:val="30"/>
          <w:szCs w:val="30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>（</w:t>
      </w:r>
      <w:r>
        <w:rPr>
          <w:rFonts w:hint="eastAsia" w:ascii="仿宋_GB2312" w:hAnsi="宋体" w:eastAsia="仿宋_GB2312" w:cs="Arial"/>
          <w:b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 w:cs="Arial"/>
          <w:b/>
          <w:sz w:val="32"/>
          <w:szCs w:val="32"/>
        </w:rPr>
        <w:t>）运输船船籍港统计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本月运输船发生一般等级及以上事故涉及运输船舶1艘，系安徽籍内河船舶。</w:t>
      </w:r>
    </w:p>
    <w:tbl>
      <w:tblPr>
        <w:tblStyle w:val="7"/>
        <w:tblpPr w:leftFromText="180" w:rightFromText="180" w:vertAnchor="text" w:horzAnchor="page" w:tblpX="1480" w:tblpY="214"/>
        <w:tblOverlap w:val="never"/>
        <w:tblW w:w="9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023"/>
        <w:gridCol w:w="985"/>
        <w:gridCol w:w="1012"/>
        <w:gridCol w:w="1021"/>
        <w:gridCol w:w="998"/>
        <w:gridCol w:w="1035"/>
        <w:gridCol w:w="926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船籍港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外国籍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外省籍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宁波籍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舟山籍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温州籍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台州籍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嘉兴籍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运输船（艘）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</w:tbl>
    <w:p>
      <w:pPr>
        <w:spacing w:line="360" w:lineRule="auto"/>
        <w:ind w:firstLine="630" w:firstLineChars="196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>（</w:t>
      </w:r>
      <w:r>
        <w:rPr>
          <w:rFonts w:hint="eastAsia" w:ascii="仿宋_GB2312" w:hAnsi="宋体" w:eastAsia="仿宋_GB2312" w:cs="Arial"/>
          <w:b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 w:cs="Arial"/>
          <w:b/>
          <w:sz w:val="32"/>
          <w:szCs w:val="32"/>
        </w:rPr>
        <w:t>）一般等级及以上事故发生地统计</w:t>
      </w:r>
    </w:p>
    <w:p>
      <w:pPr>
        <w:spacing w:line="360" w:lineRule="auto"/>
        <w:ind w:firstLine="627" w:firstLineChars="196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本月发生一般等级事故1件，为航经水域事故，具体为发生在领海基线内其他水域。</w:t>
      </w:r>
    </w:p>
    <w:tbl>
      <w:tblPr>
        <w:tblStyle w:val="7"/>
        <w:tblpPr w:leftFromText="180" w:rightFromText="180" w:vertAnchor="text" w:horzAnchor="page" w:tblpX="1635" w:tblpY="215"/>
        <w:tblOverlap w:val="never"/>
        <w:tblW w:w="903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2101"/>
        <w:gridCol w:w="2221"/>
        <w:gridCol w:w="287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40" w:type="dxa"/>
            <w:shd w:val="clear" w:color="auto" w:fill="FFFFFF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事故发生在始发港</w:t>
            </w:r>
          </w:p>
        </w:tc>
        <w:tc>
          <w:tcPr>
            <w:tcW w:w="222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事故发生在目的港</w:t>
            </w:r>
          </w:p>
        </w:tc>
        <w:tc>
          <w:tcPr>
            <w:tcW w:w="2877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航经水域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840" w:type="dxa"/>
            <w:shd w:val="clear" w:color="auto" w:fill="FFFFFF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宁波辖区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2877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840" w:type="dxa"/>
            <w:shd w:val="clear" w:color="auto" w:fill="FFFFFF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舟山辖区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2877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0" w:type="dxa"/>
            <w:shd w:val="clear" w:color="auto" w:fill="FFFFFF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温州辖区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2877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840" w:type="dxa"/>
            <w:shd w:val="clear" w:color="auto" w:fill="FFFFFF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台州辖区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2877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40" w:type="dxa"/>
            <w:shd w:val="clear" w:color="auto" w:fill="FFFFFF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合计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77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1</w:t>
            </w:r>
          </w:p>
        </w:tc>
      </w:tr>
    </w:tbl>
    <w:p>
      <w:pPr>
        <w:spacing w:line="600" w:lineRule="exact"/>
        <w:ind w:firstLine="596" w:firstLineChars="198"/>
        <w:rPr>
          <w:rFonts w:ascii="宋体" w:hAnsi="宋体" w:cs="Arial"/>
          <w:b/>
          <w:sz w:val="30"/>
          <w:szCs w:val="30"/>
        </w:rPr>
      </w:pPr>
      <w:r>
        <w:rPr>
          <w:rFonts w:hint="eastAsia" w:ascii="宋体" w:hAnsi="宋体" w:cs="Arial"/>
          <w:b/>
          <w:sz w:val="30"/>
          <w:szCs w:val="30"/>
        </w:rPr>
        <w:t>（</w:t>
      </w:r>
      <w:r>
        <w:rPr>
          <w:rFonts w:hint="eastAsia" w:ascii="仿宋_GB2312" w:hAnsi="宋体" w:eastAsia="仿宋_GB2312" w:cs="Arial"/>
          <w:b/>
          <w:sz w:val="32"/>
          <w:szCs w:val="32"/>
          <w:lang w:eastAsia="zh-CN"/>
        </w:rPr>
        <w:t>七</w:t>
      </w:r>
      <w:r>
        <w:rPr>
          <w:rFonts w:hint="eastAsia" w:ascii="仿宋_GB2312" w:hAnsi="宋体" w:eastAsia="仿宋_GB2312" w:cs="Arial"/>
          <w:b/>
          <w:sz w:val="32"/>
          <w:szCs w:val="32"/>
        </w:rPr>
        <w:t>）一般等级及以上事故等级及种类统计</w:t>
      </w:r>
    </w:p>
    <w:p>
      <w:pPr>
        <w:spacing w:line="600" w:lineRule="exact"/>
        <w:ind w:firstLine="633" w:firstLineChars="198"/>
        <w:rPr>
          <w:rFonts w:ascii="宋体" w:hAnsi="宋体" w:cs="Arial"/>
          <w:b/>
          <w:sz w:val="30"/>
          <w:szCs w:val="30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本月发生一般等级水上交通事故1件；</w:t>
      </w:r>
      <w:r>
        <w:rPr>
          <w:rFonts w:hint="eastAsia" w:ascii="仿宋_GB2312" w:hAnsi="仿宋" w:eastAsia="仿宋_GB2312"/>
          <w:sz w:val="32"/>
          <w:szCs w:val="32"/>
        </w:rPr>
        <w:t>按照事故种类统计为碰撞事故。</w:t>
      </w:r>
    </w:p>
    <w:p>
      <w:pPr>
        <w:spacing w:line="360" w:lineRule="auto"/>
        <w:ind w:firstLine="630" w:firstLineChars="196"/>
        <w:rPr>
          <w:rFonts w:ascii="仿宋_GB2312" w:hAnsi="宋体" w:eastAsia="仿宋_GB2312" w:cs="Arial"/>
          <w:b/>
          <w:sz w:val="32"/>
          <w:szCs w:val="32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>（</w:t>
      </w:r>
      <w:r>
        <w:rPr>
          <w:rFonts w:hint="eastAsia" w:ascii="仿宋_GB2312" w:hAnsi="宋体" w:eastAsia="仿宋_GB2312" w:cs="Arial"/>
          <w:b/>
          <w:sz w:val="32"/>
          <w:szCs w:val="32"/>
          <w:lang w:eastAsia="zh-CN"/>
        </w:rPr>
        <w:t>八</w:t>
      </w:r>
      <w:r>
        <w:rPr>
          <w:rFonts w:hint="eastAsia" w:ascii="仿宋_GB2312" w:hAnsi="宋体" w:eastAsia="仿宋_GB2312" w:cs="Arial"/>
          <w:b/>
          <w:sz w:val="32"/>
          <w:szCs w:val="32"/>
        </w:rPr>
        <w:t>）涉及人员死亡失踪事故</w:t>
      </w:r>
    </w:p>
    <w:p>
      <w:r>
        <w:rPr>
          <w:rFonts w:hint="eastAsia" w:ascii="仿宋_GB2312" w:hAnsi="仿宋" w:eastAsia="仿宋_GB2312"/>
          <w:bCs/>
          <w:sz w:val="32"/>
          <w:szCs w:val="32"/>
        </w:rPr>
        <w:t>无</w:t>
      </w:r>
    </w:p>
    <w:p>
      <w:pPr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二、辖区外水域涉及浙江籍船舶水上交通事故概况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（一）辖区外浙江籍船舶事故基本情况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12月份浙江籍船舶在辖区外水域共发生水上交通事故3.5件，均为小事故3件，涉及7艘浙江籍船舶，未造成浙江籍船舶人员死亡及船舶沉没。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（二）辖区外浙江籍船舶一般等级以上事故案例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无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三、事故所涉及浙江籍船舶公司管理情况</w:t>
      </w:r>
    </w:p>
    <w:p>
      <w:pPr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    12月份，浙江籍船舶共发生水上交通事故6.5件（均为小事故，辖区内3件、辖区外3.5件），无人员死亡失踪及船舶沉没、直接经济损坏约218万元。</w:t>
      </w:r>
    </w:p>
    <w:tbl>
      <w:tblPr>
        <w:tblStyle w:val="7"/>
        <w:tblW w:w="8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1560"/>
        <w:gridCol w:w="1842"/>
        <w:gridCol w:w="2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4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浙江籍船舶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事故件数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死亡失踪人数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沉船艘数</w:t>
            </w:r>
          </w:p>
        </w:tc>
        <w:tc>
          <w:tcPr>
            <w:tcW w:w="2183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直接经济损失万元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体系船舶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  <w:tc>
          <w:tcPr>
            <w:tcW w:w="2183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非体系船舶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1.5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  <w:tc>
          <w:tcPr>
            <w:tcW w:w="2183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辖区内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  <w:tc>
          <w:tcPr>
            <w:tcW w:w="2183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辖区外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3.5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  <w:tc>
          <w:tcPr>
            <w:tcW w:w="2183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较大事故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  <w:tc>
          <w:tcPr>
            <w:tcW w:w="2183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一般事故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  <w:tc>
          <w:tcPr>
            <w:tcW w:w="2183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小事故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6.5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  <w:tc>
          <w:tcPr>
            <w:tcW w:w="2183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218</w:t>
            </w:r>
          </w:p>
        </w:tc>
      </w:tr>
    </w:tbl>
    <w:p>
      <w:pPr>
        <w:rPr>
          <w:rFonts w:ascii="仿宋_GB2312" w:hAnsi="宋体" w:eastAsia="仿宋_GB2312" w:cs="Arial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四、12月份事故特点分析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1、事故总量基本稳定，等级以上事故同比降幅显著。</w:t>
      </w:r>
      <w:r>
        <w:rPr>
          <w:rFonts w:hint="eastAsia" w:ascii="仿宋_GB2312" w:eastAsia="仿宋_GB2312"/>
          <w:sz w:val="32"/>
          <w:szCs w:val="32"/>
        </w:rPr>
        <w:t>12月份辖区共发生水上交通事故11件，同比减少3件、下降21.4%，环比持平；等级以上事故同比“全面下降”，四项指标分别下降80%、减少2人、下降33.3%和下降42.6%，降幅显著。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2、两船事故相对多发。</w:t>
      </w:r>
      <w:r>
        <w:rPr>
          <w:rFonts w:hint="eastAsia" w:ascii="仿宋_GB2312" w:eastAsia="仿宋_GB2312"/>
          <w:bCs/>
          <w:sz w:val="32"/>
          <w:szCs w:val="32"/>
        </w:rPr>
        <w:t>12月份辖区共发生砂石运输船舶事故6起（4件）、占月度事故总数的54.5%，涉及6艘运输砂石船舶，其中内河船舶3艘、且均超过3000总吨</w:t>
      </w:r>
      <w:r>
        <w:rPr>
          <w:rFonts w:hint="eastAsia" w:ascii="仿宋_GB2312" w:eastAsia="仿宋_GB2312"/>
          <w:sz w:val="32"/>
          <w:szCs w:val="32"/>
        </w:rPr>
        <w:t>。一般等级事故1起，</w:t>
      </w:r>
      <w:r>
        <w:rPr>
          <w:rFonts w:hint="eastAsia" w:ascii="仿宋_GB2312" w:eastAsia="仿宋_GB2312"/>
          <w:bCs/>
          <w:sz w:val="32"/>
          <w:szCs w:val="32"/>
        </w:rPr>
        <w:t>12月19日总吨6848的安徽籍内河船舶“皖中海66”轮从福建装载约12000吨海砂驶往江苏时在象山南韭山东南约7海里水域与宁波甬发远洋渔业股份有限公司所属的远洋渔船“甬发3”轮发生碰撞，造成两艘船舶沉没。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五、10月份事故原因分析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12月份事故发生的主要原因：一是船员安全意识不强，航行时未能保持正规了望。本月发生7起碰撞事故，都存在值班人员了望疏忽的现象。二是操作不当。“浙奉16”轮拖带“新运盛89”轮时，操作不当导致“新运盛89”触礁搁浅，“浙奉16”轮沉没；“盛平009”轮在靠泊时船长操作不当，船舶受涨潮流影响触碰太平洋石化码头</w:t>
      </w:r>
      <w:r>
        <w:rPr>
          <w:rFonts w:hint="eastAsia" w:ascii="仿宋_GB2312" w:hAnsi="仿宋" w:eastAsia="仿宋_GB2312"/>
          <w:bCs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二是内河船舶违规参与海上运输埋下事故隐患。</w:t>
      </w:r>
      <w:r>
        <w:rPr>
          <w:rFonts w:hint="eastAsia" w:ascii="仿宋_GB2312" w:eastAsia="仿宋_GB2312"/>
          <w:bCs/>
          <w:sz w:val="32"/>
          <w:szCs w:val="32"/>
        </w:rPr>
        <w:t>“皖中海66”轮与“甬发3”轮碰撞事故中，6800总吨、船长近120米、装载约12000吨砂石的内河船“皖中海66”轮，船上才4名人员</w:t>
      </w:r>
      <w:r>
        <w:rPr>
          <w:rFonts w:hint="eastAsia" w:ascii="仿宋_GB2312" w:eastAsia="仿宋_GB2312"/>
          <w:sz w:val="32"/>
          <w:szCs w:val="32"/>
        </w:rPr>
        <w:t>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247" w:right="1797" w:bottom="109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7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59"/>
    <w:rsid w:val="00003368"/>
    <w:rsid w:val="00003C5D"/>
    <w:rsid w:val="00004D21"/>
    <w:rsid w:val="00007BD8"/>
    <w:rsid w:val="000123C7"/>
    <w:rsid w:val="000125AE"/>
    <w:rsid w:val="000144F4"/>
    <w:rsid w:val="00016792"/>
    <w:rsid w:val="00021E05"/>
    <w:rsid w:val="00032907"/>
    <w:rsid w:val="00035532"/>
    <w:rsid w:val="000406C7"/>
    <w:rsid w:val="00046305"/>
    <w:rsid w:val="0006031F"/>
    <w:rsid w:val="00062C85"/>
    <w:rsid w:val="0006395D"/>
    <w:rsid w:val="0006626D"/>
    <w:rsid w:val="0007171E"/>
    <w:rsid w:val="000728A3"/>
    <w:rsid w:val="000738AC"/>
    <w:rsid w:val="0008034C"/>
    <w:rsid w:val="0008337F"/>
    <w:rsid w:val="00086245"/>
    <w:rsid w:val="00087EC6"/>
    <w:rsid w:val="0009181E"/>
    <w:rsid w:val="0009307B"/>
    <w:rsid w:val="0009548D"/>
    <w:rsid w:val="000B09E5"/>
    <w:rsid w:val="000B1D07"/>
    <w:rsid w:val="000B4296"/>
    <w:rsid w:val="000D51AC"/>
    <w:rsid w:val="000D6629"/>
    <w:rsid w:val="000D685D"/>
    <w:rsid w:val="000F2671"/>
    <w:rsid w:val="000F385A"/>
    <w:rsid w:val="000F470F"/>
    <w:rsid w:val="0012487D"/>
    <w:rsid w:val="00125278"/>
    <w:rsid w:val="00127144"/>
    <w:rsid w:val="00134147"/>
    <w:rsid w:val="00137415"/>
    <w:rsid w:val="00137442"/>
    <w:rsid w:val="0014293B"/>
    <w:rsid w:val="00151E82"/>
    <w:rsid w:val="00154C08"/>
    <w:rsid w:val="001569C2"/>
    <w:rsid w:val="001676EA"/>
    <w:rsid w:val="00174404"/>
    <w:rsid w:val="00174ECC"/>
    <w:rsid w:val="00177576"/>
    <w:rsid w:val="001853C6"/>
    <w:rsid w:val="00187721"/>
    <w:rsid w:val="00197143"/>
    <w:rsid w:val="001972F1"/>
    <w:rsid w:val="001A0803"/>
    <w:rsid w:val="001A4B03"/>
    <w:rsid w:val="001A6CB1"/>
    <w:rsid w:val="001B05B5"/>
    <w:rsid w:val="001B28C5"/>
    <w:rsid w:val="001B72CA"/>
    <w:rsid w:val="001C11DD"/>
    <w:rsid w:val="001C16DF"/>
    <w:rsid w:val="001C34C0"/>
    <w:rsid w:val="001C5DB9"/>
    <w:rsid w:val="001C69F1"/>
    <w:rsid w:val="001C6AB3"/>
    <w:rsid w:val="001D4118"/>
    <w:rsid w:val="001E4D4D"/>
    <w:rsid w:val="00212C1F"/>
    <w:rsid w:val="00214320"/>
    <w:rsid w:val="00214544"/>
    <w:rsid w:val="00216E1F"/>
    <w:rsid w:val="002241E6"/>
    <w:rsid w:val="0023674F"/>
    <w:rsid w:val="00256AE1"/>
    <w:rsid w:val="00262555"/>
    <w:rsid w:val="00263915"/>
    <w:rsid w:val="0026670D"/>
    <w:rsid w:val="00267A39"/>
    <w:rsid w:val="0027081A"/>
    <w:rsid w:val="00271669"/>
    <w:rsid w:val="00271AAD"/>
    <w:rsid w:val="00272404"/>
    <w:rsid w:val="002749E2"/>
    <w:rsid w:val="002821F4"/>
    <w:rsid w:val="002875FC"/>
    <w:rsid w:val="00294B07"/>
    <w:rsid w:val="002A38A6"/>
    <w:rsid w:val="002A4E7D"/>
    <w:rsid w:val="002A5021"/>
    <w:rsid w:val="002A71FC"/>
    <w:rsid w:val="002B5108"/>
    <w:rsid w:val="002C0191"/>
    <w:rsid w:val="002C0509"/>
    <w:rsid w:val="002C2A81"/>
    <w:rsid w:val="002C6394"/>
    <w:rsid w:val="002D5248"/>
    <w:rsid w:val="002D595D"/>
    <w:rsid w:val="002E72E7"/>
    <w:rsid w:val="002F2A8B"/>
    <w:rsid w:val="002F6EEB"/>
    <w:rsid w:val="003023CF"/>
    <w:rsid w:val="00303884"/>
    <w:rsid w:val="0030657E"/>
    <w:rsid w:val="00307397"/>
    <w:rsid w:val="003243DC"/>
    <w:rsid w:val="00325323"/>
    <w:rsid w:val="00346C89"/>
    <w:rsid w:val="003474AB"/>
    <w:rsid w:val="0035109F"/>
    <w:rsid w:val="0035480D"/>
    <w:rsid w:val="00361800"/>
    <w:rsid w:val="003621D8"/>
    <w:rsid w:val="00362608"/>
    <w:rsid w:val="00367EE2"/>
    <w:rsid w:val="00376101"/>
    <w:rsid w:val="00377414"/>
    <w:rsid w:val="0038125C"/>
    <w:rsid w:val="00384CDF"/>
    <w:rsid w:val="00387552"/>
    <w:rsid w:val="003911EA"/>
    <w:rsid w:val="0039190F"/>
    <w:rsid w:val="00391A7C"/>
    <w:rsid w:val="00392EC1"/>
    <w:rsid w:val="003935C1"/>
    <w:rsid w:val="003A3884"/>
    <w:rsid w:val="003B0877"/>
    <w:rsid w:val="003B0B57"/>
    <w:rsid w:val="003B2B51"/>
    <w:rsid w:val="003B3ECB"/>
    <w:rsid w:val="003B4CAC"/>
    <w:rsid w:val="003D03DD"/>
    <w:rsid w:val="003D60E7"/>
    <w:rsid w:val="003E2238"/>
    <w:rsid w:val="003E758A"/>
    <w:rsid w:val="003F354C"/>
    <w:rsid w:val="003F4409"/>
    <w:rsid w:val="003F6329"/>
    <w:rsid w:val="00406CF9"/>
    <w:rsid w:val="004202E8"/>
    <w:rsid w:val="00425E58"/>
    <w:rsid w:val="0042669A"/>
    <w:rsid w:val="004277D7"/>
    <w:rsid w:val="00427E5F"/>
    <w:rsid w:val="00430BD2"/>
    <w:rsid w:val="004351F0"/>
    <w:rsid w:val="004356F4"/>
    <w:rsid w:val="00441CA2"/>
    <w:rsid w:val="00446A2A"/>
    <w:rsid w:val="004507C4"/>
    <w:rsid w:val="00452151"/>
    <w:rsid w:val="00452E61"/>
    <w:rsid w:val="0045473A"/>
    <w:rsid w:val="00465D57"/>
    <w:rsid w:val="00471A02"/>
    <w:rsid w:val="00474D07"/>
    <w:rsid w:val="00475F46"/>
    <w:rsid w:val="00476A23"/>
    <w:rsid w:val="00477C5D"/>
    <w:rsid w:val="00484727"/>
    <w:rsid w:val="00487658"/>
    <w:rsid w:val="004B0D17"/>
    <w:rsid w:val="004B2315"/>
    <w:rsid w:val="004C0FEC"/>
    <w:rsid w:val="004C6A09"/>
    <w:rsid w:val="004D0E56"/>
    <w:rsid w:val="004D344D"/>
    <w:rsid w:val="004D7A01"/>
    <w:rsid w:val="004E074B"/>
    <w:rsid w:val="004E2B3F"/>
    <w:rsid w:val="004E5E6E"/>
    <w:rsid w:val="004F03CC"/>
    <w:rsid w:val="004F75F5"/>
    <w:rsid w:val="005024DE"/>
    <w:rsid w:val="0050289A"/>
    <w:rsid w:val="00503801"/>
    <w:rsid w:val="00504C9B"/>
    <w:rsid w:val="00507277"/>
    <w:rsid w:val="00512861"/>
    <w:rsid w:val="00514464"/>
    <w:rsid w:val="00520DAD"/>
    <w:rsid w:val="00521D67"/>
    <w:rsid w:val="0052331F"/>
    <w:rsid w:val="00524232"/>
    <w:rsid w:val="00536106"/>
    <w:rsid w:val="00545591"/>
    <w:rsid w:val="005456AC"/>
    <w:rsid w:val="005546D7"/>
    <w:rsid w:val="00555024"/>
    <w:rsid w:val="00562693"/>
    <w:rsid w:val="0057400C"/>
    <w:rsid w:val="0057440B"/>
    <w:rsid w:val="00580AA4"/>
    <w:rsid w:val="00580C14"/>
    <w:rsid w:val="005826DF"/>
    <w:rsid w:val="005870DD"/>
    <w:rsid w:val="005A0674"/>
    <w:rsid w:val="005A2DD0"/>
    <w:rsid w:val="005A4776"/>
    <w:rsid w:val="005A5074"/>
    <w:rsid w:val="005A5CF2"/>
    <w:rsid w:val="005B2FE5"/>
    <w:rsid w:val="005C6C5E"/>
    <w:rsid w:val="005D0B10"/>
    <w:rsid w:val="005E032C"/>
    <w:rsid w:val="005E03E6"/>
    <w:rsid w:val="005E728B"/>
    <w:rsid w:val="005F1601"/>
    <w:rsid w:val="005F27B2"/>
    <w:rsid w:val="005F5EF2"/>
    <w:rsid w:val="00607594"/>
    <w:rsid w:val="0061472F"/>
    <w:rsid w:val="00621435"/>
    <w:rsid w:val="00621B2A"/>
    <w:rsid w:val="00622F0B"/>
    <w:rsid w:val="00627376"/>
    <w:rsid w:val="0063671F"/>
    <w:rsid w:val="00641DA4"/>
    <w:rsid w:val="0065050C"/>
    <w:rsid w:val="00652E99"/>
    <w:rsid w:val="00655147"/>
    <w:rsid w:val="00655FB2"/>
    <w:rsid w:val="00656F3F"/>
    <w:rsid w:val="00660FA5"/>
    <w:rsid w:val="00663BA4"/>
    <w:rsid w:val="00664AEB"/>
    <w:rsid w:val="00672027"/>
    <w:rsid w:val="00672EFC"/>
    <w:rsid w:val="0068159D"/>
    <w:rsid w:val="00686055"/>
    <w:rsid w:val="0068608D"/>
    <w:rsid w:val="00692960"/>
    <w:rsid w:val="00692AF5"/>
    <w:rsid w:val="006946C9"/>
    <w:rsid w:val="006978D9"/>
    <w:rsid w:val="006A2C73"/>
    <w:rsid w:val="006B7399"/>
    <w:rsid w:val="006C5033"/>
    <w:rsid w:val="006C72F3"/>
    <w:rsid w:val="006D2296"/>
    <w:rsid w:val="006D5EDC"/>
    <w:rsid w:val="006D6ED3"/>
    <w:rsid w:val="006E0A13"/>
    <w:rsid w:val="006E2868"/>
    <w:rsid w:val="006E2DB7"/>
    <w:rsid w:val="006E548C"/>
    <w:rsid w:val="006E593E"/>
    <w:rsid w:val="006F1693"/>
    <w:rsid w:val="006F2EEE"/>
    <w:rsid w:val="006F6600"/>
    <w:rsid w:val="007006E4"/>
    <w:rsid w:val="0070164A"/>
    <w:rsid w:val="0070723C"/>
    <w:rsid w:val="007127DE"/>
    <w:rsid w:val="0073093B"/>
    <w:rsid w:val="00735052"/>
    <w:rsid w:val="007369C0"/>
    <w:rsid w:val="00736C1E"/>
    <w:rsid w:val="00740DAC"/>
    <w:rsid w:val="007421BC"/>
    <w:rsid w:val="00744F3E"/>
    <w:rsid w:val="00751558"/>
    <w:rsid w:val="0075355C"/>
    <w:rsid w:val="00754FF4"/>
    <w:rsid w:val="007656E0"/>
    <w:rsid w:val="00774CBC"/>
    <w:rsid w:val="00776CC3"/>
    <w:rsid w:val="00780997"/>
    <w:rsid w:val="00783825"/>
    <w:rsid w:val="007845B3"/>
    <w:rsid w:val="00793C3F"/>
    <w:rsid w:val="007A1717"/>
    <w:rsid w:val="007B58D7"/>
    <w:rsid w:val="007C2DAB"/>
    <w:rsid w:val="007D0FE8"/>
    <w:rsid w:val="007D2D8C"/>
    <w:rsid w:val="007D4E14"/>
    <w:rsid w:val="007D4ECB"/>
    <w:rsid w:val="007D5781"/>
    <w:rsid w:val="007E2111"/>
    <w:rsid w:val="007F06E3"/>
    <w:rsid w:val="007F29A4"/>
    <w:rsid w:val="007F320F"/>
    <w:rsid w:val="007F4503"/>
    <w:rsid w:val="00800E1F"/>
    <w:rsid w:val="0080240D"/>
    <w:rsid w:val="00804B2E"/>
    <w:rsid w:val="00805539"/>
    <w:rsid w:val="00807FE4"/>
    <w:rsid w:val="00812AAF"/>
    <w:rsid w:val="00820BB9"/>
    <w:rsid w:val="008216C6"/>
    <w:rsid w:val="00824FDA"/>
    <w:rsid w:val="00826117"/>
    <w:rsid w:val="00827D0C"/>
    <w:rsid w:val="00830CD0"/>
    <w:rsid w:val="00832DB3"/>
    <w:rsid w:val="008379BC"/>
    <w:rsid w:val="00845EE8"/>
    <w:rsid w:val="00852437"/>
    <w:rsid w:val="008546AD"/>
    <w:rsid w:val="008630A8"/>
    <w:rsid w:val="0086658A"/>
    <w:rsid w:val="008714A3"/>
    <w:rsid w:val="00873664"/>
    <w:rsid w:val="0087653F"/>
    <w:rsid w:val="0089150C"/>
    <w:rsid w:val="008928A7"/>
    <w:rsid w:val="00896A55"/>
    <w:rsid w:val="008A5FAE"/>
    <w:rsid w:val="008B0D88"/>
    <w:rsid w:val="008B5BCE"/>
    <w:rsid w:val="008B6089"/>
    <w:rsid w:val="008C141D"/>
    <w:rsid w:val="008C3363"/>
    <w:rsid w:val="008C3A4D"/>
    <w:rsid w:val="008D1AD1"/>
    <w:rsid w:val="008D1EF9"/>
    <w:rsid w:val="008E4E9D"/>
    <w:rsid w:val="008E783A"/>
    <w:rsid w:val="008F37FF"/>
    <w:rsid w:val="008F5ED0"/>
    <w:rsid w:val="008F6A80"/>
    <w:rsid w:val="00914DD4"/>
    <w:rsid w:val="00930935"/>
    <w:rsid w:val="00934ABC"/>
    <w:rsid w:val="00940556"/>
    <w:rsid w:val="00953FFA"/>
    <w:rsid w:val="00965CC3"/>
    <w:rsid w:val="0097091F"/>
    <w:rsid w:val="00972FFE"/>
    <w:rsid w:val="00981F88"/>
    <w:rsid w:val="00983203"/>
    <w:rsid w:val="00986D73"/>
    <w:rsid w:val="00993544"/>
    <w:rsid w:val="009A324A"/>
    <w:rsid w:val="009A54F3"/>
    <w:rsid w:val="009A5D32"/>
    <w:rsid w:val="009B0C3A"/>
    <w:rsid w:val="009B326B"/>
    <w:rsid w:val="009B569B"/>
    <w:rsid w:val="009B5B96"/>
    <w:rsid w:val="009C084C"/>
    <w:rsid w:val="009C4BE7"/>
    <w:rsid w:val="009D1308"/>
    <w:rsid w:val="009E42D7"/>
    <w:rsid w:val="009F0C0C"/>
    <w:rsid w:val="009F1EB8"/>
    <w:rsid w:val="009F35C9"/>
    <w:rsid w:val="009F463A"/>
    <w:rsid w:val="009F78D1"/>
    <w:rsid w:val="00A0130E"/>
    <w:rsid w:val="00A07316"/>
    <w:rsid w:val="00A10CD4"/>
    <w:rsid w:val="00A10F26"/>
    <w:rsid w:val="00A10FCA"/>
    <w:rsid w:val="00A20BA3"/>
    <w:rsid w:val="00A36F82"/>
    <w:rsid w:val="00A435BC"/>
    <w:rsid w:val="00A4533C"/>
    <w:rsid w:val="00A453C7"/>
    <w:rsid w:val="00A53333"/>
    <w:rsid w:val="00A53E09"/>
    <w:rsid w:val="00A53E4F"/>
    <w:rsid w:val="00A5564D"/>
    <w:rsid w:val="00A5652F"/>
    <w:rsid w:val="00A646FE"/>
    <w:rsid w:val="00A700C4"/>
    <w:rsid w:val="00A75965"/>
    <w:rsid w:val="00A82C8A"/>
    <w:rsid w:val="00A84600"/>
    <w:rsid w:val="00A85681"/>
    <w:rsid w:val="00A8686C"/>
    <w:rsid w:val="00A87B33"/>
    <w:rsid w:val="00A92664"/>
    <w:rsid w:val="00AA5265"/>
    <w:rsid w:val="00AB41B1"/>
    <w:rsid w:val="00AB69ED"/>
    <w:rsid w:val="00AB6B08"/>
    <w:rsid w:val="00AC0B5A"/>
    <w:rsid w:val="00AD21BC"/>
    <w:rsid w:val="00AD3E3F"/>
    <w:rsid w:val="00AE07D5"/>
    <w:rsid w:val="00AE28E6"/>
    <w:rsid w:val="00AE315F"/>
    <w:rsid w:val="00AF010B"/>
    <w:rsid w:val="00B00079"/>
    <w:rsid w:val="00B11390"/>
    <w:rsid w:val="00B1225A"/>
    <w:rsid w:val="00B37A43"/>
    <w:rsid w:val="00B427A7"/>
    <w:rsid w:val="00B47283"/>
    <w:rsid w:val="00B54AFD"/>
    <w:rsid w:val="00B555C8"/>
    <w:rsid w:val="00B60B84"/>
    <w:rsid w:val="00B62A58"/>
    <w:rsid w:val="00B66424"/>
    <w:rsid w:val="00B763F0"/>
    <w:rsid w:val="00B8341D"/>
    <w:rsid w:val="00B9287B"/>
    <w:rsid w:val="00B9314E"/>
    <w:rsid w:val="00B945D3"/>
    <w:rsid w:val="00B957DF"/>
    <w:rsid w:val="00BB311F"/>
    <w:rsid w:val="00BB543C"/>
    <w:rsid w:val="00BB55CB"/>
    <w:rsid w:val="00BB76F3"/>
    <w:rsid w:val="00BB7DCE"/>
    <w:rsid w:val="00BD077F"/>
    <w:rsid w:val="00BD135D"/>
    <w:rsid w:val="00BD29CF"/>
    <w:rsid w:val="00BD46B6"/>
    <w:rsid w:val="00BE5FF5"/>
    <w:rsid w:val="00BE7477"/>
    <w:rsid w:val="00BF31BF"/>
    <w:rsid w:val="00BF5B5A"/>
    <w:rsid w:val="00BF5EC5"/>
    <w:rsid w:val="00BF6153"/>
    <w:rsid w:val="00C0034F"/>
    <w:rsid w:val="00C04F52"/>
    <w:rsid w:val="00C17790"/>
    <w:rsid w:val="00C3208A"/>
    <w:rsid w:val="00C32E7A"/>
    <w:rsid w:val="00C4460E"/>
    <w:rsid w:val="00C463DF"/>
    <w:rsid w:val="00C51C45"/>
    <w:rsid w:val="00C53150"/>
    <w:rsid w:val="00C60375"/>
    <w:rsid w:val="00C93659"/>
    <w:rsid w:val="00C9734D"/>
    <w:rsid w:val="00CA1D1F"/>
    <w:rsid w:val="00CA309C"/>
    <w:rsid w:val="00CA3178"/>
    <w:rsid w:val="00CA594B"/>
    <w:rsid w:val="00CA6804"/>
    <w:rsid w:val="00CA79EF"/>
    <w:rsid w:val="00CB0203"/>
    <w:rsid w:val="00CB29D7"/>
    <w:rsid w:val="00CB5141"/>
    <w:rsid w:val="00CD0070"/>
    <w:rsid w:val="00CD1141"/>
    <w:rsid w:val="00CE045E"/>
    <w:rsid w:val="00CE0D41"/>
    <w:rsid w:val="00CE47B9"/>
    <w:rsid w:val="00CF6981"/>
    <w:rsid w:val="00D0336D"/>
    <w:rsid w:val="00D034C3"/>
    <w:rsid w:val="00D06266"/>
    <w:rsid w:val="00D075FC"/>
    <w:rsid w:val="00D15628"/>
    <w:rsid w:val="00D374A4"/>
    <w:rsid w:val="00D43A8C"/>
    <w:rsid w:val="00D500DB"/>
    <w:rsid w:val="00D521AD"/>
    <w:rsid w:val="00D53476"/>
    <w:rsid w:val="00D63BFD"/>
    <w:rsid w:val="00D64EED"/>
    <w:rsid w:val="00D67D43"/>
    <w:rsid w:val="00D7429C"/>
    <w:rsid w:val="00D84FA9"/>
    <w:rsid w:val="00D86B02"/>
    <w:rsid w:val="00D90287"/>
    <w:rsid w:val="00D95FFB"/>
    <w:rsid w:val="00DA7ED9"/>
    <w:rsid w:val="00DB0D9E"/>
    <w:rsid w:val="00DB17B0"/>
    <w:rsid w:val="00DB2521"/>
    <w:rsid w:val="00DB3CAA"/>
    <w:rsid w:val="00DB75DB"/>
    <w:rsid w:val="00DC3C12"/>
    <w:rsid w:val="00DD2CA0"/>
    <w:rsid w:val="00DD44BC"/>
    <w:rsid w:val="00DD5EF3"/>
    <w:rsid w:val="00DE4578"/>
    <w:rsid w:val="00DF3B11"/>
    <w:rsid w:val="00DF4BCB"/>
    <w:rsid w:val="00E02F65"/>
    <w:rsid w:val="00E05C29"/>
    <w:rsid w:val="00E064CA"/>
    <w:rsid w:val="00E07D6F"/>
    <w:rsid w:val="00E117CA"/>
    <w:rsid w:val="00E17933"/>
    <w:rsid w:val="00E3530A"/>
    <w:rsid w:val="00E36453"/>
    <w:rsid w:val="00E37B24"/>
    <w:rsid w:val="00E40256"/>
    <w:rsid w:val="00E40AA1"/>
    <w:rsid w:val="00E43E27"/>
    <w:rsid w:val="00E568C4"/>
    <w:rsid w:val="00E656D5"/>
    <w:rsid w:val="00E72F1C"/>
    <w:rsid w:val="00E7752E"/>
    <w:rsid w:val="00E8039A"/>
    <w:rsid w:val="00E80759"/>
    <w:rsid w:val="00E80CF3"/>
    <w:rsid w:val="00E83262"/>
    <w:rsid w:val="00E84A34"/>
    <w:rsid w:val="00E934D0"/>
    <w:rsid w:val="00E94F46"/>
    <w:rsid w:val="00E97B2C"/>
    <w:rsid w:val="00E97EAE"/>
    <w:rsid w:val="00EA32B5"/>
    <w:rsid w:val="00EA4EB9"/>
    <w:rsid w:val="00EC63DF"/>
    <w:rsid w:val="00ED1FE9"/>
    <w:rsid w:val="00ED6D72"/>
    <w:rsid w:val="00EE0703"/>
    <w:rsid w:val="00EE26DB"/>
    <w:rsid w:val="00EE3A6C"/>
    <w:rsid w:val="00EF30CD"/>
    <w:rsid w:val="00EF40DA"/>
    <w:rsid w:val="00F006E6"/>
    <w:rsid w:val="00F101A4"/>
    <w:rsid w:val="00F1370B"/>
    <w:rsid w:val="00F162C4"/>
    <w:rsid w:val="00F23727"/>
    <w:rsid w:val="00F31D79"/>
    <w:rsid w:val="00F35F2A"/>
    <w:rsid w:val="00F37476"/>
    <w:rsid w:val="00F42E48"/>
    <w:rsid w:val="00F4361A"/>
    <w:rsid w:val="00F50280"/>
    <w:rsid w:val="00F60474"/>
    <w:rsid w:val="00F65425"/>
    <w:rsid w:val="00F67E63"/>
    <w:rsid w:val="00F7724C"/>
    <w:rsid w:val="00F83AEB"/>
    <w:rsid w:val="00F95E41"/>
    <w:rsid w:val="00F97872"/>
    <w:rsid w:val="00FA3D46"/>
    <w:rsid w:val="00FA4E17"/>
    <w:rsid w:val="00FB6804"/>
    <w:rsid w:val="00FC0E5E"/>
    <w:rsid w:val="00FC291D"/>
    <w:rsid w:val="00FD0414"/>
    <w:rsid w:val="00FD17B6"/>
    <w:rsid w:val="00FD58E3"/>
    <w:rsid w:val="00FE4F86"/>
    <w:rsid w:val="00FE63AB"/>
    <w:rsid w:val="00FE79DF"/>
    <w:rsid w:val="00FF3561"/>
    <w:rsid w:val="00FF3B9E"/>
    <w:rsid w:val="00FF5D20"/>
    <w:rsid w:val="04B20E51"/>
    <w:rsid w:val="06B70693"/>
    <w:rsid w:val="0C6B2156"/>
    <w:rsid w:val="10183232"/>
    <w:rsid w:val="22663129"/>
    <w:rsid w:val="232D2A32"/>
    <w:rsid w:val="2D7A1D40"/>
    <w:rsid w:val="314B0F8E"/>
    <w:rsid w:val="33BE3123"/>
    <w:rsid w:val="36984B02"/>
    <w:rsid w:val="40D470E9"/>
    <w:rsid w:val="44600A03"/>
    <w:rsid w:val="4DE0202D"/>
    <w:rsid w:val="4F530699"/>
    <w:rsid w:val="59BA0AF4"/>
    <w:rsid w:val="5BD316F9"/>
    <w:rsid w:val="66C14D3E"/>
    <w:rsid w:val="74E848D8"/>
    <w:rsid w:val="7B3775AC"/>
    <w:rsid w:val="7E1B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脚 Char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99"/>
  </w:style>
  <w:style w:type="character" w:customStyle="1" w:styleId="14">
    <w:name w:val="页眉 Char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link w:val="3"/>
    <w:semiHidden/>
    <w:uiPriority w:val="99"/>
    <w:rPr>
      <w:sz w:val="18"/>
      <w:szCs w:val="18"/>
    </w:rPr>
  </w:style>
  <w:style w:type="paragraph" w:customStyle="1" w:styleId="16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7">
    <w:name w:val="Char 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18">
    <w:name w:val="Char Char1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paragraph" w:customStyle="1" w:styleId="19">
    <w:name w:val="Char"/>
    <w:basedOn w:val="1"/>
    <w:qFormat/>
    <w:uiPriority w:val="0"/>
    <w:rPr>
      <w:rFonts w:ascii="Tahoma" w:hAnsi="Tahoma" w:cs="Tahom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788</Words>
  <Characters>4497</Characters>
  <Lines>37</Lines>
  <Paragraphs>10</Paragraphs>
  <TotalTime>138</TotalTime>
  <ScaleCrop>false</ScaleCrop>
  <LinksUpToDate>false</LinksUpToDate>
  <CharactersWithSpaces>5275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2020-01-01T05:49:00Z</dcterms:created>
  <dc:creator>wzh</dc:creator>
  <cp:lastModifiedBy>李旭驰</cp:lastModifiedBy>
  <cp:lastPrinted>2019-11-04T02:27:00Z</cp:lastPrinted>
  <dcterms:modified xsi:type="dcterms:W3CDTF">2020-03-20T02:24:13Z</dcterms:modified>
  <dc:title>2017年1月份辖区水上交通事故统计分析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