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4"/>
          <w:szCs w:val="44"/>
        </w:rPr>
      </w:pPr>
      <w:bookmarkStart w:id="0" w:name="_GoBack"/>
      <w:bookmarkEnd w:id="0"/>
      <w:r>
        <w:rPr>
          <w:rFonts w:hint="eastAsia" w:ascii="宋体" w:hAnsi="宋体" w:cs="宋体"/>
          <w:b/>
          <w:kern w:val="0"/>
          <w:sz w:val="44"/>
          <w:szCs w:val="44"/>
        </w:rPr>
        <w:t>浙江海事局2021年双随机检查结果公示</w:t>
      </w:r>
    </w:p>
    <w:p>
      <w:pPr>
        <w:pStyle w:val="4"/>
        <w:spacing w:before="0" w:beforeAutospacing="0" w:after="0" w:afterAutospacing="0" w:line="580" w:lineRule="exact"/>
        <w:jc w:val="center"/>
        <w:rPr>
          <w:rFonts w:ascii="Times New Roman" w:hAnsi="Times New Roman" w:eastAsia="方正小标宋_GBK"/>
          <w:sz w:val="36"/>
          <w:szCs w:val="36"/>
        </w:rPr>
      </w:pPr>
    </w:p>
    <w:tbl>
      <w:tblPr>
        <w:tblStyle w:val="5"/>
        <w:tblW w:w="1389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8"/>
        <w:gridCol w:w="2128"/>
        <w:gridCol w:w="4637"/>
        <w:gridCol w:w="1701"/>
        <w:gridCol w:w="340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blHeader/>
        </w:trPr>
        <w:tc>
          <w:tcPr>
            <w:tcW w:w="748" w:type="dxa"/>
            <w:vAlign w:val="center"/>
          </w:tcPr>
          <w:p>
            <w:pPr>
              <w:widowControl/>
              <w:jc w:val="center"/>
              <w:rPr>
                <w:rFonts w:eastAsia="仿宋_GB2312"/>
                <w:sz w:val="24"/>
              </w:rPr>
            </w:pPr>
            <w:r>
              <w:rPr>
                <w:rFonts w:eastAsia="仿宋_GB2312"/>
                <w:sz w:val="24"/>
              </w:rPr>
              <w:t>序号</w:t>
            </w:r>
          </w:p>
        </w:tc>
        <w:tc>
          <w:tcPr>
            <w:tcW w:w="2128"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抽查事项</w:t>
            </w:r>
          </w:p>
          <w:p>
            <w:pPr>
              <w:widowControl/>
              <w:jc w:val="center"/>
              <w:rPr>
                <w:rFonts w:ascii="仿宋_GB2312" w:hAnsi="仿宋_GB2312" w:eastAsia="仿宋_GB2312"/>
                <w:sz w:val="24"/>
              </w:rPr>
            </w:pPr>
            <w:r>
              <w:rPr>
                <w:rFonts w:hint="eastAsia" w:ascii="仿宋_GB2312" w:hAnsi="仿宋_GB2312" w:eastAsia="仿宋_GB2312"/>
                <w:sz w:val="24"/>
              </w:rPr>
              <w:t>名称</w:t>
            </w:r>
          </w:p>
        </w:tc>
        <w:tc>
          <w:tcPr>
            <w:tcW w:w="4637"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监管内容</w:t>
            </w:r>
          </w:p>
        </w:tc>
        <w:tc>
          <w:tcPr>
            <w:tcW w:w="1701"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检查数量</w:t>
            </w:r>
          </w:p>
        </w:tc>
        <w:tc>
          <w:tcPr>
            <w:tcW w:w="3402"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问题数量</w:t>
            </w:r>
          </w:p>
        </w:tc>
        <w:tc>
          <w:tcPr>
            <w:tcW w:w="1276" w:type="dxa"/>
            <w:vAlign w:val="center"/>
          </w:tcPr>
          <w:p>
            <w:pPr>
              <w:widowControl/>
              <w:jc w:val="center"/>
              <w:rPr>
                <w:rFonts w:ascii="仿宋_GB2312" w:hAnsi="仿宋_GB2312" w:eastAsia="仿宋_GB2312"/>
                <w:sz w:val="24"/>
              </w:rPr>
            </w:pPr>
            <w:r>
              <w:rPr>
                <w:rFonts w:hint="eastAsia" w:ascii="仿宋_GB2312" w:hAnsi="仿宋_GB2312" w:eastAsia="仿宋_GB2312"/>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trPr>
        <w:tc>
          <w:tcPr>
            <w:tcW w:w="748" w:type="dxa"/>
            <w:vAlign w:val="center"/>
          </w:tcPr>
          <w:p>
            <w:pPr>
              <w:widowControl/>
              <w:autoSpaceDN w:val="0"/>
              <w:jc w:val="center"/>
              <w:textAlignment w:val="center"/>
              <w:rPr>
                <w:rFonts w:eastAsia="仿宋_GB2312"/>
                <w:sz w:val="24"/>
              </w:rPr>
            </w:pPr>
            <w:r>
              <w:rPr>
                <w:rFonts w:eastAsia="仿宋_GB2312"/>
                <w:sz w:val="24"/>
              </w:rPr>
              <w:t>1</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船舶污染港区水域作业监督检查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对船舶及有关作业单位落实企业安全生产责任，严格按照有关法律法规和标准的要求从事相关船舶污染港区水域作业情况进行检查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3522</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234</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12" w:hRule="atLeast"/>
        </w:trPr>
        <w:tc>
          <w:tcPr>
            <w:tcW w:w="748" w:type="dxa"/>
            <w:vAlign w:val="center"/>
          </w:tcPr>
          <w:p>
            <w:pPr>
              <w:widowControl/>
              <w:autoSpaceDN w:val="0"/>
              <w:jc w:val="center"/>
              <w:textAlignment w:val="center"/>
              <w:rPr>
                <w:rFonts w:eastAsia="仿宋_GB2312"/>
                <w:sz w:val="24"/>
              </w:rPr>
            </w:pPr>
            <w:r>
              <w:rPr>
                <w:rFonts w:eastAsia="仿宋_GB2312"/>
                <w:sz w:val="24"/>
              </w:rPr>
              <w:t>2</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船舶载运危险货物和污染危害性货物进出港口检查</w:t>
            </w:r>
          </w:p>
        </w:tc>
        <w:tc>
          <w:tcPr>
            <w:tcW w:w="4637" w:type="dxa"/>
            <w:vAlign w:val="center"/>
          </w:tcPr>
          <w:p>
            <w:pPr>
              <w:ind w:left="105" w:leftChars="50" w:right="105" w:rightChars="50"/>
              <w:jc w:val="left"/>
              <w:rPr>
                <w:rFonts w:ascii="仿宋_GB2312" w:hAnsi="仿宋_GB2312" w:eastAsia="仿宋_GB2312"/>
                <w:sz w:val="24"/>
                <w:szCs w:val="16"/>
              </w:rPr>
            </w:pPr>
            <w:r>
              <w:rPr>
                <w:rFonts w:hint="eastAsia" w:ascii="仿宋_GB2312" w:hAnsi="仿宋_GB2312" w:eastAsia="仿宋_GB2312"/>
                <w:sz w:val="24"/>
              </w:rPr>
              <w:t>对承运人、托运人或其代理人递交的申报资料实施网上受理审批，并在船舶靠港期间实施现场检查，内容包括船舶文书资料是否齐备，船舶设施、装备是否符合要求，货物积载隔离是否符合相关要求，必要时开箱查验以核实危险货物装箱情况是否符合要求等</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6459</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253</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748" w:type="dxa"/>
            <w:vAlign w:val="center"/>
          </w:tcPr>
          <w:p>
            <w:pPr>
              <w:widowControl/>
              <w:autoSpaceDN w:val="0"/>
              <w:jc w:val="center"/>
              <w:textAlignment w:val="center"/>
              <w:rPr>
                <w:rFonts w:eastAsia="仿宋_GB2312"/>
                <w:sz w:val="24"/>
              </w:rPr>
            </w:pPr>
            <w:r>
              <w:rPr>
                <w:rFonts w:eastAsia="仿宋_GB2312"/>
                <w:sz w:val="24"/>
              </w:rPr>
              <w:t>3</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从事海员外派业务检查</w:t>
            </w:r>
          </w:p>
        </w:tc>
        <w:tc>
          <w:tcPr>
            <w:tcW w:w="4637" w:type="dxa"/>
            <w:vAlign w:val="center"/>
          </w:tcPr>
          <w:p>
            <w:pPr>
              <w:ind w:left="105" w:leftChars="50" w:right="105" w:rightChars="50"/>
              <w:rPr>
                <w:rFonts w:ascii="仿宋_GB2312" w:hAnsi="仿宋_GB2312" w:eastAsia="仿宋_GB2312"/>
                <w:sz w:val="24"/>
                <w:szCs w:val="16"/>
              </w:rPr>
            </w:pPr>
            <w:r>
              <w:rPr>
                <w:rFonts w:hint="eastAsia" w:ascii="仿宋_GB2312" w:hAnsi="仿宋_GB2312" w:eastAsia="仿宋_GB2312"/>
                <w:sz w:val="24"/>
              </w:rPr>
              <w:t>对企业是否取得从事海员外派业务许可以及取得许可后的资质保持、履行船员派遣和管理职责、信息报送等情况进行检查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7</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748" w:type="dxa"/>
            <w:vAlign w:val="center"/>
          </w:tcPr>
          <w:p>
            <w:pPr>
              <w:widowControl/>
              <w:autoSpaceDN w:val="0"/>
              <w:jc w:val="center"/>
              <w:textAlignment w:val="center"/>
              <w:rPr>
                <w:rFonts w:eastAsia="仿宋_GB2312"/>
                <w:sz w:val="24"/>
              </w:rPr>
            </w:pPr>
            <w:r>
              <w:rPr>
                <w:rFonts w:eastAsia="仿宋_GB2312"/>
                <w:sz w:val="24"/>
              </w:rPr>
              <w:t>4</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从事海船船员服务业务检查</w:t>
            </w:r>
          </w:p>
        </w:tc>
        <w:tc>
          <w:tcPr>
            <w:tcW w:w="4637" w:type="dxa"/>
            <w:vAlign w:val="center"/>
          </w:tcPr>
          <w:p>
            <w:pPr>
              <w:ind w:left="105" w:leftChars="50" w:right="105" w:rightChars="50"/>
              <w:rPr>
                <w:rFonts w:ascii="仿宋_GB2312" w:hAnsi="仿宋_GB2312" w:eastAsia="仿宋_GB2312"/>
                <w:sz w:val="24"/>
                <w:szCs w:val="16"/>
              </w:rPr>
            </w:pPr>
            <w:r>
              <w:rPr>
                <w:rFonts w:hint="eastAsia" w:ascii="仿宋_GB2312" w:hAnsi="仿宋_GB2312" w:eastAsia="仿宋_GB2312"/>
                <w:sz w:val="24"/>
              </w:rPr>
              <w:t>对企业是否取得从事海员服务业务许可以及取得许可后的资质保持、履行船员派遣和管理职责、信息报送等情况进行检查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6" w:hRule="atLeast"/>
        </w:trPr>
        <w:tc>
          <w:tcPr>
            <w:tcW w:w="748" w:type="dxa"/>
            <w:vAlign w:val="center"/>
          </w:tcPr>
          <w:p>
            <w:pPr>
              <w:widowControl/>
              <w:jc w:val="center"/>
              <w:rPr>
                <w:rFonts w:eastAsia="仿宋_GB2312"/>
                <w:sz w:val="24"/>
              </w:rPr>
            </w:pPr>
            <w:r>
              <w:rPr>
                <w:rFonts w:eastAsia="仿宋_GB2312"/>
                <w:sz w:val="24"/>
              </w:rPr>
              <w:t>5</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培训机构从事船员、引航员培训业务检查</w:t>
            </w:r>
          </w:p>
        </w:tc>
        <w:tc>
          <w:tcPr>
            <w:tcW w:w="4637" w:type="dxa"/>
            <w:vAlign w:val="center"/>
          </w:tcPr>
          <w:p>
            <w:pPr>
              <w:rPr>
                <w:rFonts w:ascii="仿宋_GB2312" w:hAnsi="仿宋_GB2312" w:eastAsia="仿宋_GB2312"/>
                <w:sz w:val="24"/>
              </w:rPr>
            </w:pPr>
            <w:r>
              <w:rPr>
                <w:rFonts w:hint="eastAsia" w:ascii="仿宋_GB2312" w:hAnsi="仿宋_GB2312" w:eastAsia="仿宋_GB2312"/>
                <w:sz w:val="24"/>
              </w:rPr>
              <w:t>对培训机构是否取得从事船员、引航员培训业务许可以及许可后的资质保持和培训质量管理情况进行检查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7</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1" w:hRule="atLeast"/>
        </w:trPr>
        <w:tc>
          <w:tcPr>
            <w:tcW w:w="748" w:type="dxa"/>
            <w:vAlign w:val="center"/>
          </w:tcPr>
          <w:p>
            <w:pPr>
              <w:widowControl/>
              <w:jc w:val="center"/>
              <w:rPr>
                <w:rFonts w:eastAsia="仿宋_GB2312"/>
                <w:sz w:val="24"/>
              </w:rPr>
            </w:pPr>
            <w:r>
              <w:rPr>
                <w:rFonts w:eastAsia="仿宋_GB2312"/>
                <w:sz w:val="24"/>
              </w:rPr>
              <w:t>6</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船舶污染物接收单位从事船舶垃圾、残油、含油污水、含有毒有害物质污水接收作业监督检查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对船舶污染物接收单位落实企业安全生产责任，严格按照有关法律法规和标准的要求从事船舶污染物接收作业情况进行检查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3892</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523</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975" w:hRule="atLeast"/>
        </w:trPr>
        <w:tc>
          <w:tcPr>
            <w:tcW w:w="748" w:type="dxa"/>
            <w:vAlign w:val="center"/>
          </w:tcPr>
          <w:p>
            <w:pPr>
              <w:widowControl/>
              <w:jc w:val="center"/>
              <w:rPr>
                <w:rFonts w:eastAsia="仿宋_GB2312"/>
                <w:sz w:val="24"/>
              </w:rPr>
            </w:pPr>
            <w:r>
              <w:rPr>
                <w:rFonts w:eastAsia="仿宋_GB2312"/>
                <w:sz w:val="24"/>
              </w:rPr>
              <w:t>7</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船舶进行散装液体污染危害性货物水上过驳作业检查</w:t>
            </w:r>
          </w:p>
        </w:tc>
        <w:tc>
          <w:tcPr>
            <w:tcW w:w="4637" w:type="dxa"/>
            <w:vAlign w:val="center"/>
          </w:tcPr>
          <w:p>
            <w:pPr>
              <w:ind w:left="105" w:leftChars="50" w:right="105" w:rightChars="50"/>
              <w:jc w:val="left"/>
              <w:rPr>
                <w:rFonts w:ascii="仿宋_GB2312" w:hAnsi="仿宋_GB2312" w:eastAsia="仿宋_GB2312"/>
                <w:sz w:val="24"/>
                <w:szCs w:val="16"/>
              </w:rPr>
            </w:pPr>
            <w:r>
              <w:rPr>
                <w:rFonts w:hint="eastAsia" w:ascii="仿宋_GB2312" w:hAnsi="仿宋_GB2312" w:eastAsia="仿宋_GB2312"/>
                <w:sz w:val="24"/>
              </w:rPr>
              <w:t>对船舶及有关作业单位落实企业安全生产责任，严格按照有关法律法规和标准的要求从事过驳作业，作业方是否落实相关防污染措施，人员是否经过相应培训，是否按照作业方案进行作业等情况进行检查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4</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4" w:hRule="atLeast"/>
        </w:trPr>
        <w:tc>
          <w:tcPr>
            <w:tcW w:w="748" w:type="dxa"/>
            <w:vAlign w:val="center"/>
          </w:tcPr>
          <w:p>
            <w:pPr>
              <w:widowControl/>
              <w:jc w:val="center"/>
              <w:rPr>
                <w:rFonts w:eastAsia="仿宋_GB2312"/>
                <w:sz w:val="24"/>
              </w:rPr>
            </w:pPr>
            <w:r>
              <w:rPr>
                <w:rFonts w:eastAsia="仿宋_GB2312"/>
                <w:sz w:val="24"/>
              </w:rPr>
              <w:t>8</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通航水域岸线安全使用和水上水下活动检查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对施工单位和参与施工船舶是否按许可条件和要求落实安全生产责任制开展水上水下活动进行检查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6290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49</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73" w:hRule="atLeast"/>
        </w:trPr>
        <w:tc>
          <w:tcPr>
            <w:tcW w:w="748" w:type="dxa"/>
            <w:vAlign w:val="center"/>
          </w:tcPr>
          <w:p>
            <w:pPr>
              <w:widowControl/>
              <w:jc w:val="center"/>
              <w:rPr>
                <w:rFonts w:eastAsia="仿宋_GB2312"/>
                <w:sz w:val="24"/>
              </w:rPr>
            </w:pPr>
            <w:r>
              <w:rPr>
                <w:rFonts w:eastAsia="仿宋_GB2312"/>
                <w:sz w:val="24"/>
              </w:rPr>
              <w:t>9</w:t>
            </w:r>
          </w:p>
        </w:tc>
        <w:tc>
          <w:tcPr>
            <w:tcW w:w="2128" w:type="dxa"/>
            <w:vAlign w:val="center"/>
          </w:tcPr>
          <w:p>
            <w:pPr>
              <w:rPr>
                <w:rFonts w:ascii="仿宋_GB2312" w:hAnsi="仿宋_GB2312" w:eastAsia="仿宋_GB2312"/>
                <w:sz w:val="24"/>
              </w:rPr>
            </w:pPr>
            <w:r>
              <w:rPr>
                <w:rFonts w:hint="eastAsia" w:ascii="仿宋_GB2312" w:hAnsi="仿宋_GB2312" w:eastAsia="仿宋_GB2312"/>
                <w:sz w:val="24"/>
              </w:rPr>
              <w:t>大型设施、移动式平台、超限物体水上拖带活动检查</w:t>
            </w:r>
          </w:p>
        </w:tc>
        <w:tc>
          <w:tcPr>
            <w:tcW w:w="4637" w:type="dxa"/>
            <w:vAlign w:val="center"/>
          </w:tcPr>
          <w:p>
            <w:pPr>
              <w:jc w:val="left"/>
              <w:rPr>
                <w:rFonts w:ascii="仿宋_GB2312" w:hAnsi="仿宋_GB2312" w:eastAsia="仿宋_GB2312"/>
                <w:sz w:val="24"/>
              </w:rPr>
            </w:pPr>
            <w:r>
              <w:rPr>
                <w:rFonts w:hint="eastAsia" w:ascii="仿宋_GB2312" w:hAnsi="仿宋_GB2312" w:eastAsia="仿宋_GB2312"/>
                <w:sz w:val="24"/>
              </w:rPr>
              <w:t>对拖带活动组织单位和参与拖带的船舶是否按许可条件和要求落实安全生产责任制开展水上水下活动进行检查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22" w:hRule="atLeast"/>
        </w:trPr>
        <w:tc>
          <w:tcPr>
            <w:tcW w:w="748" w:type="dxa"/>
            <w:vAlign w:val="center"/>
          </w:tcPr>
          <w:p>
            <w:pPr>
              <w:widowControl/>
              <w:jc w:val="center"/>
              <w:rPr>
                <w:rFonts w:eastAsia="仿宋_GB2312"/>
                <w:sz w:val="24"/>
              </w:rPr>
            </w:pPr>
            <w:r>
              <w:rPr>
                <w:rFonts w:eastAsia="仿宋_GB2312"/>
                <w:sz w:val="24"/>
              </w:rPr>
              <w:t>10</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从事内河船舶船员服务业务监督检查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对已经备案的从事内河船舶船员服务业务的服务机构是否符合《中华人民共和国船员服务管理规定》第六条规定的条件进行检查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76" w:hRule="atLeast"/>
        </w:trPr>
        <w:tc>
          <w:tcPr>
            <w:tcW w:w="748" w:type="dxa"/>
            <w:vAlign w:val="center"/>
          </w:tcPr>
          <w:p>
            <w:pPr>
              <w:widowControl/>
              <w:jc w:val="center"/>
              <w:rPr>
                <w:rFonts w:eastAsia="仿宋_GB2312"/>
                <w:sz w:val="24"/>
              </w:rPr>
            </w:pPr>
            <w:r>
              <w:rPr>
                <w:rFonts w:eastAsia="仿宋_GB2312"/>
                <w:sz w:val="24"/>
              </w:rPr>
              <w:t>11</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港口、码头、装卸站以及从事船舶修造、打捞、拆解等作业活动的单位防治船舶污染能力专项验收监督检查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港口、码头、装卸站以及从事船舶修造、打捞、拆解等作业活动的单位保持相应的船舶污染防治能力，配备与其装卸货物种类和吞吐能力或者修造船舶能力相适应的污染监视设施、污染物接收设施及必要的防污染设备和器材，并处于良好状态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153</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rPr>
            </w:pPr>
            <w:r>
              <w:rPr>
                <w:rFonts w:eastAsia="仿宋_GB2312"/>
                <w:sz w:val="24"/>
              </w:rPr>
              <w:t>12</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设立验船机构检查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对船检机构是否取得许可以及取得许可后的资质保持情况和船检质量情况进行检查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6</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17</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rPr>
            </w:pPr>
            <w:r>
              <w:rPr>
                <w:rFonts w:eastAsia="仿宋_GB2312"/>
                <w:sz w:val="24"/>
              </w:rPr>
              <w:t>13</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外国籍船舶或飞机从事海上搜救检查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对外国籍船舶或飞机从事海上搜救情况进行检查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22" w:hRule="atLeast"/>
        </w:trPr>
        <w:tc>
          <w:tcPr>
            <w:tcW w:w="748" w:type="dxa"/>
            <w:vAlign w:val="center"/>
          </w:tcPr>
          <w:p>
            <w:pPr>
              <w:widowControl/>
              <w:jc w:val="center"/>
              <w:rPr>
                <w:rFonts w:eastAsia="仿宋_GB2312"/>
                <w:sz w:val="24"/>
              </w:rPr>
            </w:pPr>
            <w:r>
              <w:rPr>
                <w:rFonts w:eastAsia="仿宋_GB2312"/>
                <w:sz w:val="24"/>
              </w:rPr>
              <w:t>14</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船舶进出港口检查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对国际航行船舶进出口岸的许可办理手续情况进行检查；对国内航行船舶进出港口履行报告情况进行检查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28479</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2382</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5</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沿海水域划定禁航区和安全作业区检查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对船舶浮动设施是否按禁航区和安全作业区许可要求进行航行、停泊、作业等情况进行检查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6</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船舶安全检验证书核发检查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对船舶检验证书核发的正确性、准确性进行检查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28479</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2710</w:t>
            </w:r>
          </w:p>
        </w:tc>
        <w:tc>
          <w:tcPr>
            <w:tcW w:w="1276" w:type="dxa"/>
            <w:vAlign w:val="center"/>
          </w:tcPr>
          <w:p>
            <w:pPr>
              <w:jc w:val="left"/>
              <w:rPr>
                <w:rFonts w:ascii="仿宋_GB2312" w:hAnsi="仿宋_GB2312" w:eastAsia="仿宋_GB2312"/>
                <w:sz w:val="24"/>
              </w:rPr>
            </w:pPr>
            <w:r>
              <w:rPr>
                <w:rFonts w:hint="eastAsia" w:ascii="仿宋_GB2312" w:hAnsi="仿宋_GB2312" w:eastAsia="仿宋_GB2312"/>
                <w:sz w:val="24"/>
              </w:rPr>
              <w:t>16、17、19项作为文书类项目统一检查。问题数量为此三项发现问题之和。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7</w:t>
            </w:r>
          </w:p>
        </w:tc>
        <w:tc>
          <w:tcPr>
            <w:tcW w:w="2128" w:type="dxa"/>
            <w:vAlign w:val="center"/>
          </w:tcPr>
          <w:p>
            <w:pPr>
              <w:spacing w:beforeLines="50" w:afterLines="50"/>
              <w:rPr>
                <w:rFonts w:ascii="仿宋_GB2312" w:hAnsi="仿宋_GB2312" w:eastAsia="仿宋_GB2312"/>
                <w:sz w:val="24"/>
                <w:szCs w:val="16"/>
              </w:rPr>
            </w:pPr>
            <w:r>
              <w:rPr>
                <w:rFonts w:hint="eastAsia" w:ascii="仿宋_GB2312" w:hAnsi="仿宋_GB2312" w:eastAsia="仿宋_GB2312"/>
                <w:sz w:val="24"/>
              </w:rPr>
              <w:t>船舶国籍证书核发检查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rPr>
              <w:t>对已核发国籍证书的有效期是否正确、相关信息系统中国籍信息是否与档案材料一致等情况进行检查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28479</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2710</w:t>
            </w:r>
          </w:p>
        </w:tc>
        <w:tc>
          <w:tcPr>
            <w:tcW w:w="1276" w:type="dxa"/>
            <w:vAlign w:val="center"/>
          </w:tcPr>
          <w:p>
            <w:pPr>
              <w:jc w:val="left"/>
              <w:rPr>
                <w:rFonts w:ascii="仿宋_GB2312" w:hAnsi="仿宋_GB2312" w:eastAsia="仿宋_GB2312"/>
                <w:sz w:val="24"/>
              </w:rPr>
            </w:pPr>
            <w:r>
              <w:rPr>
                <w:rFonts w:hint="eastAsia" w:ascii="仿宋_GB2312" w:hAnsi="仿宋_GB2312" w:eastAsia="仿宋_GB2312"/>
                <w:sz w:val="24"/>
              </w:rPr>
              <w:t>16、17、19项作为文书类项目统一检查。问题数量为此三项发现问题之和。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1</w:t>
            </w:r>
            <w:r>
              <w:rPr>
                <w:rFonts w:hint="eastAsia" w:eastAsia="仿宋_GB2312"/>
                <w:sz w:val="24"/>
                <w:szCs w:val="16"/>
              </w:rPr>
              <w:t>8</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船舶所有人、经营人或者管理人防治船舶及其有关作业活动污染海洋环境应急预案检查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对船舶所有人、经营人或者管理人防止船舶及其有关作业活动污染海洋环境应急预案是否与船舶实际情况相一致、是否按照预案要求开展演习和培训等情况进行检查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1914</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129</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hint="eastAsia" w:eastAsia="仿宋_GB2312"/>
                <w:sz w:val="24"/>
                <w:szCs w:val="16"/>
              </w:rPr>
              <w:t>19</w:t>
            </w:r>
          </w:p>
        </w:tc>
        <w:tc>
          <w:tcPr>
            <w:tcW w:w="2128" w:type="dxa"/>
            <w:vAlign w:val="center"/>
          </w:tcPr>
          <w:p>
            <w:pPr>
              <w:rPr>
                <w:rFonts w:ascii="仿宋_GB2312" w:hAnsi="仿宋_GB2312" w:eastAsia="仿宋_GB2312"/>
                <w:sz w:val="24"/>
                <w:szCs w:val="16"/>
              </w:rPr>
            </w:pPr>
            <w:r>
              <w:rPr>
                <w:rFonts w:hint="eastAsia" w:ascii="仿宋_GB2312" w:hAnsi="仿宋_GB2312" w:eastAsia="仿宋_GB2312"/>
                <w:sz w:val="24"/>
              </w:rPr>
              <w:t>船舶油污损害民事责任保险证书或者财务保证证书核发检查</w:t>
            </w:r>
          </w:p>
        </w:tc>
        <w:tc>
          <w:tcPr>
            <w:tcW w:w="4637" w:type="dxa"/>
            <w:vAlign w:val="center"/>
          </w:tcPr>
          <w:p>
            <w:pPr>
              <w:jc w:val="left"/>
              <w:rPr>
                <w:rFonts w:ascii="仿宋_GB2312" w:hAnsi="仿宋_GB2312" w:eastAsia="仿宋_GB2312"/>
                <w:sz w:val="24"/>
                <w:szCs w:val="16"/>
              </w:rPr>
            </w:pPr>
            <w:r>
              <w:rPr>
                <w:rFonts w:hint="eastAsia" w:ascii="仿宋_GB2312" w:hAnsi="仿宋_GB2312" w:eastAsia="仿宋_GB2312"/>
                <w:sz w:val="24"/>
              </w:rPr>
              <w:t>对于国际航行船舶，通过船舶进出口岸申报审批进行核查，并通过船舶现场监督检查进行抽查；对于国内沿海航行船舶，通过现场监督检查进行事中事后抽查，检查内容包括船舶是否随船携带证书，证书是否处于有效期内等</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28479</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2710</w:t>
            </w:r>
          </w:p>
        </w:tc>
        <w:tc>
          <w:tcPr>
            <w:tcW w:w="1276" w:type="dxa"/>
            <w:vAlign w:val="center"/>
          </w:tcPr>
          <w:p>
            <w:pPr>
              <w:jc w:val="left"/>
              <w:rPr>
                <w:rFonts w:ascii="仿宋_GB2312" w:hAnsi="仿宋_GB2312" w:eastAsia="仿宋_GB2312"/>
                <w:sz w:val="24"/>
              </w:rPr>
            </w:pPr>
            <w:r>
              <w:rPr>
                <w:rFonts w:hint="eastAsia" w:ascii="仿宋_GB2312" w:hAnsi="仿宋_GB2312" w:eastAsia="仿宋_GB2312"/>
                <w:sz w:val="24"/>
              </w:rPr>
              <w:t>16、17、19项作为文书类项目统一检查。问题数量为此三项发现问题之和。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0</w:t>
            </w:r>
          </w:p>
        </w:tc>
        <w:tc>
          <w:tcPr>
            <w:tcW w:w="2128" w:type="dxa"/>
            <w:vAlign w:val="center"/>
          </w:tcPr>
          <w:p>
            <w:pPr>
              <w:rPr>
                <w:rFonts w:ascii="仿宋_GB2312" w:hAnsi="仿宋_GB2312" w:eastAsia="仿宋_GB2312"/>
                <w:sz w:val="24"/>
              </w:rPr>
            </w:pPr>
            <w:r>
              <w:rPr>
                <w:rFonts w:hint="eastAsia" w:ascii="仿宋_GB2312" w:hAnsi="仿宋_GB2312" w:eastAsia="仿宋_GB2312"/>
                <w:sz w:val="24"/>
              </w:rPr>
              <w:t>危险化学品水路运输人员资质检查</w:t>
            </w:r>
          </w:p>
        </w:tc>
        <w:tc>
          <w:tcPr>
            <w:tcW w:w="4637" w:type="dxa"/>
            <w:vAlign w:val="center"/>
          </w:tcPr>
          <w:p>
            <w:pPr>
              <w:jc w:val="left"/>
              <w:rPr>
                <w:rFonts w:ascii="仿宋_GB2312" w:hAnsi="仿宋_GB2312" w:eastAsia="仿宋_GB2312"/>
                <w:sz w:val="24"/>
              </w:rPr>
            </w:pPr>
            <w:r>
              <w:rPr>
                <w:rFonts w:hint="eastAsia" w:ascii="仿宋_GB2312" w:hAnsi="仿宋_GB2312" w:eastAsia="仿宋_GB2312"/>
                <w:sz w:val="24"/>
              </w:rPr>
              <w:t>对取得危险化学品水路运输资质的申报人员申报是否符合规定、是否如实申报、装箱检查员装箱质量等从业行为进行检查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25</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1</w:t>
            </w:r>
          </w:p>
        </w:tc>
        <w:tc>
          <w:tcPr>
            <w:tcW w:w="2128" w:type="dxa"/>
            <w:vAlign w:val="center"/>
          </w:tcPr>
          <w:p>
            <w:pPr>
              <w:rPr>
                <w:rFonts w:ascii="仿宋_GB2312" w:hAnsi="仿宋_GB2312" w:eastAsia="仿宋_GB2312"/>
                <w:sz w:val="24"/>
              </w:rPr>
            </w:pPr>
            <w:r>
              <w:rPr>
                <w:rFonts w:hint="eastAsia" w:ascii="仿宋_GB2312" w:hAnsi="仿宋_GB2312" w:eastAsia="仿宋_GB2312"/>
                <w:sz w:val="24"/>
              </w:rPr>
              <w:t>引航员注册检查</w:t>
            </w:r>
          </w:p>
        </w:tc>
        <w:tc>
          <w:tcPr>
            <w:tcW w:w="4637" w:type="dxa"/>
            <w:vAlign w:val="center"/>
          </w:tcPr>
          <w:p>
            <w:pPr>
              <w:jc w:val="left"/>
              <w:rPr>
                <w:rFonts w:ascii="仿宋_GB2312" w:hAnsi="仿宋_GB2312" w:eastAsia="仿宋_GB2312"/>
                <w:sz w:val="24"/>
              </w:rPr>
            </w:pPr>
            <w:r>
              <w:rPr>
                <w:rFonts w:hint="eastAsia" w:ascii="仿宋_GB2312" w:hAnsi="仿宋_GB2312" w:eastAsia="仿宋_GB2312"/>
                <w:sz w:val="24"/>
              </w:rPr>
              <w:t>对引航员注册是否合规，材料是否完整进行检查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3402" w:type="dxa"/>
            <w:vAlign w:val="center"/>
          </w:tcPr>
          <w:p>
            <w:pPr>
              <w:jc w:val="center"/>
              <w:rPr>
                <w:rFonts w:ascii="仿宋_GB2312" w:hAnsi="仿宋_GB2312" w:eastAsia="仿宋_GB2312"/>
                <w:sz w:val="24"/>
              </w:rPr>
            </w:pPr>
            <w:r>
              <w:rPr>
                <w:rFonts w:hint="eastAsia" w:ascii="仿宋_GB2312" w:hAnsi="仿宋_GB2312" w:eastAsia="仿宋_GB2312"/>
                <w:sz w:val="24"/>
              </w:rPr>
              <w:t>0</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2</w:t>
            </w:r>
          </w:p>
        </w:tc>
        <w:tc>
          <w:tcPr>
            <w:tcW w:w="2128" w:type="dxa"/>
            <w:vAlign w:val="center"/>
          </w:tcPr>
          <w:p>
            <w:pPr>
              <w:rPr>
                <w:rFonts w:ascii="仿宋_GB2312" w:hAnsi="仿宋_GB2312" w:eastAsia="仿宋_GB2312"/>
                <w:sz w:val="24"/>
              </w:rPr>
            </w:pPr>
            <w:r>
              <w:rPr>
                <w:rFonts w:hint="eastAsia" w:ascii="仿宋_GB2312" w:hAnsi="仿宋_GB2312" w:eastAsia="仿宋_GB2312"/>
                <w:sz w:val="24"/>
                <w:szCs w:val="21"/>
              </w:rPr>
              <w:t>交通系统无线电台检查</w:t>
            </w:r>
          </w:p>
        </w:tc>
        <w:tc>
          <w:tcPr>
            <w:tcW w:w="4637" w:type="dxa"/>
            <w:vAlign w:val="center"/>
          </w:tcPr>
          <w:p>
            <w:pPr>
              <w:rPr>
                <w:rFonts w:ascii="仿宋_GB2312" w:hAnsi="仿宋_GB2312" w:eastAsia="仿宋_GB2312"/>
                <w:sz w:val="24"/>
                <w:szCs w:val="16"/>
              </w:rPr>
            </w:pPr>
            <w:r>
              <w:rPr>
                <w:rFonts w:hint="eastAsia" w:ascii="仿宋_GB2312" w:hAnsi="仿宋_GB2312" w:eastAsia="仿宋_GB2312"/>
                <w:sz w:val="24"/>
                <w:szCs w:val="16"/>
              </w:rPr>
              <w:t>对是否取得无线频率、电台呼号、船舶电台许可以及许可后的使用情况进行检查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29426</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82</w:t>
            </w:r>
          </w:p>
        </w:tc>
        <w:tc>
          <w:tcPr>
            <w:tcW w:w="1276" w:type="dxa"/>
            <w:vAlign w:val="center"/>
          </w:tcPr>
          <w:p>
            <w:pPr>
              <w:jc w:val="center"/>
              <w:rPr>
                <w:rFonts w:ascii="仿宋_GB2312" w:hAns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0" w:hRule="atLeast"/>
        </w:trPr>
        <w:tc>
          <w:tcPr>
            <w:tcW w:w="748" w:type="dxa"/>
            <w:vAlign w:val="center"/>
          </w:tcPr>
          <w:p>
            <w:pPr>
              <w:widowControl/>
              <w:jc w:val="center"/>
              <w:rPr>
                <w:rFonts w:eastAsia="仿宋_GB2312"/>
                <w:sz w:val="24"/>
                <w:szCs w:val="16"/>
              </w:rPr>
            </w:pPr>
            <w:r>
              <w:rPr>
                <w:rFonts w:eastAsia="仿宋_GB2312"/>
                <w:sz w:val="24"/>
                <w:szCs w:val="16"/>
              </w:rPr>
              <w:t>2</w:t>
            </w:r>
            <w:r>
              <w:rPr>
                <w:rFonts w:hint="eastAsia" w:eastAsia="仿宋_GB2312"/>
                <w:sz w:val="24"/>
                <w:szCs w:val="16"/>
              </w:rPr>
              <w:t>3</w:t>
            </w:r>
          </w:p>
        </w:tc>
        <w:tc>
          <w:tcPr>
            <w:tcW w:w="2128" w:type="dxa"/>
            <w:vAlign w:val="center"/>
          </w:tcPr>
          <w:p>
            <w:pPr>
              <w:jc w:val="left"/>
              <w:rPr>
                <w:rFonts w:ascii="仿宋_GB2312" w:hAnsi="仿宋_GB2312" w:eastAsia="仿宋_GB2312"/>
                <w:sz w:val="24"/>
              </w:rPr>
            </w:pPr>
            <w:r>
              <w:rPr>
                <w:rFonts w:hint="eastAsia" w:ascii="仿宋_GB2312" w:hAnsi="仿宋_GB2312" w:eastAsia="仿宋_GB2312"/>
                <w:sz w:val="24"/>
                <w:szCs w:val="21"/>
              </w:rPr>
              <w:t>水上无线电通信秩序监督检查</w:t>
            </w:r>
          </w:p>
        </w:tc>
        <w:tc>
          <w:tcPr>
            <w:tcW w:w="4637" w:type="dxa"/>
            <w:vAlign w:val="center"/>
          </w:tcPr>
          <w:p>
            <w:pPr>
              <w:widowControl/>
              <w:rPr>
                <w:rFonts w:ascii="仿宋_GB2312" w:hAnsi="仿宋_GB2312" w:eastAsia="仿宋_GB2312"/>
                <w:sz w:val="24"/>
                <w:szCs w:val="16"/>
              </w:rPr>
            </w:pPr>
            <w:r>
              <w:rPr>
                <w:rFonts w:hint="eastAsia" w:ascii="仿宋_GB2312" w:hAnsi="仿宋_GB2312" w:eastAsia="仿宋_GB2312"/>
                <w:sz w:val="24"/>
                <w:szCs w:val="16"/>
              </w:rPr>
              <w:t>对无线频率、电台呼号、船舶电台等水上无线电使用情况进行检查</w:t>
            </w:r>
          </w:p>
        </w:tc>
        <w:tc>
          <w:tcPr>
            <w:tcW w:w="1701" w:type="dxa"/>
            <w:vAlign w:val="center"/>
          </w:tcPr>
          <w:p>
            <w:pPr>
              <w:jc w:val="center"/>
              <w:rPr>
                <w:rFonts w:ascii="仿宋_GB2312" w:hAnsi="仿宋_GB2312" w:eastAsia="仿宋_GB2312"/>
                <w:sz w:val="24"/>
              </w:rPr>
            </w:pPr>
            <w:r>
              <w:rPr>
                <w:rFonts w:hint="eastAsia" w:ascii="仿宋_GB2312" w:hAnsi="仿宋_GB2312" w:eastAsia="仿宋_GB2312"/>
                <w:sz w:val="24"/>
              </w:rPr>
              <w:t>29426</w:t>
            </w:r>
          </w:p>
        </w:tc>
        <w:tc>
          <w:tcPr>
            <w:tcW w:w="3402" w:type="dxa"/>
            <w:vAlign w:val="center"/>
          </w:tcPr>
          <w:p>
            <w:pPr>
              <w:jc w:val="center"/>
              <w:rPr>
                <w:rFonts w:ascii="仿宋_GB2312" w:hAnsi="仿宋_GB2312" w:eastAsia="仿宋_GB2312"/>
                <w:sz w:val="24"/>
                <w:szCs w:val="16"/>
              </w:rPr>
            </w:pPr>
            <w:r>
              <w:rPr>
                <w:rFonts w:hint="eastAsia" w:ascii="仿宋_GB2312" w:hAnsi="仿宋_GB2312" w:eastAsia="仿宋_GB2312"/>
                <w:sz w:val="24"/>
                <w:szCs w:val="16"/>
              </w:rPr>
              <w:t>82</w:t>
            </w:r>
          </w:p>
        </w:tc>
        <w:tc>
          <w:tcPr>
            <w:tcW w:w="1276" w:type="dxa"/>
            <w:vAlign w:val="center"/>
          </w:tcPr>
          <w:p>
            <w:pPr>
              <w:jc w:val="center"/>
              <w:rPr>
                <w:rFonts w:ascii="仿宋_GB2312" w:hAnsi="仿宋_GB2312" w:eastAsia="仿宋_GB2312"/>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09"/>
    <w:rsid w:val="00060F7C"/>
    <w:rsid w:val="001F0FA5"/>
    <w:rsid w:val="005679F4"/>
    <w:rsid w:val="00571418"/>
    <w:rsid w:val="005F5AF7"/>
    <w:rsid w:val="008F5777"/>
    <w:rsid w:val="00950F03"/>
    <w:rsid w:val="009B4E09"/>
    <w:rsid w:val="00AA7083"/>
    <w:rsid w:val="00C43548"/>
    <w:rsid w:val="00CB26F8"/>
    <w:rsid w:val="00CF7FA3"/>
    <w:rsid w:val="00E0627E"/>
    <w:rsid w:val="00ED22C0"/>
    <w:rsid w:val="19081261"/>
    <w:rsid w:val="3A6B0BC1"/>
    <w:rsid w:val="3CF5797C"/>
    <w:rsid w:val="4DA364C5"/>
    <w:rsid w:val="531119C6"/>
    <w:rsid w:val="681079F2"/>
    <w:rsid w:val="7A1020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318</Words>
  <Characters>1819</Characters>
  <Lines>15</Lines>
  <Paragraphs>4</Paragraphs>
  <TotalTime>172</TotalTime>
  <ScaleCrop>false</ScaleCrop>
  <LinksUpToDate>false</LinksUpToDate>
  <CharactersWithSpaces>2133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2019-11-07T08:31:00Z</dcterms:created>
  <dc:creator>DC</dc:creator>
  <cp:lastModifiedBy>6486C746-6BE0-E3E0-5E05-34E0110C63DA</cp:lastModifiedBy>
  <dcterms:modified xsi:type="dcterms:W3CDTF">2022-04-01T08:13:23Z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