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sz w:val="44"/>
        </w:rPr>
      </w:pPr>
    </w:p>
    <w:p>
      <w:pPr>
        <w:spacing w:line="580" w:lineRule="exact"/>
        <w:jc w:val="center"/>
        <w:rPr>
          <w:rFonts w:ascii="方正小标宋简体" w:eastAsia="方正小标宋简体"/>
          <w:sz w:val="44"/>
        </w:rPr>
      </w:pPr>
      <w:r>
        <w:rPr>
          <w:rFonts w:hint="eastAsia" w:ascii="方正小标宋简体" w:eastAsia="方正小标宋简体"/>
          <w:sz w:val="44"/>
        </w:rPr>
        <w:t>浙江沿海主要港区水域船舶交通组织</w:t>
      </w:r>
    </w:p>
    <w:p>
      <w:pPr>
        <w:spacing w:line="580" w:lineRule="exact"/>
        <w:jc w:val="center"/>
        <w:rPr>
          <w:rFonts w:ascii="方正小标宋简体" w:eastAsia="方正小标宋简体"/>
          <w:sz w:val="44"/>
        </w:rPr>
      </w:pPr>
      <w:r>
        <w:rPr>
          <w:rFonts w:hint="eastAsia" w:ascii="方正小标宋简体" w:eastAsia="方正小标宋简体"/>
          <w:sz w:val="44"/>
        </w:rPr>
        <w:t>实施办法</w:t>
      </w:r>
    </w:p>
    <w:p>
      <w:pPr>
        <w:spacing w:line="580" w:lineRule="exact"/>
        <w:jc w:val="center"/>
        <w:rPr>
          <w:rFonts w:ascii="楷体_GB2312" w:eastAsia="楷体_GB2312"/>
          <w:sz w:val="32"/>
          <w:szCs w:val="32"/>
        </w:rPr>
      </w:pPr>
      <w:r>
        <w:rPr>
          <w:rFonts w:hint="eastAsia" w:ascii="楷体_GB2312" w:eastAsia="楷体_GB2312"/>
          <w:sz w:val="32"/>
          <w:szCs w:val="32"/>
        </w:rPr>
        <w:t>（征求意见稿）</w:t>
      </w:r>
    </w:p>
    <w:p>
      <w:pPr>
        <w:spacing w:line="580" w:lineRule="exact"/>
        <w:ind w:firstLine="640" w:firstLineChars="200"/>
        <w:rPr>
          <w:rFonts w:ascii="方正小标宋简体" w:eastAsia="方正小标宋简体"/>
          <w:sz w:val="32"/>
          <w:szCs w:val="32"/>
        </w:rPr>
      </w:pPr>
    </w:p>
    <w:p>
      <w:pPr>
        <w:spacing w:line="580" w:lineRule="exact"/>
        <w:jc w:val="center"/>
        <w:rPr>
          <w:rFonts w:ascii="黑体" w:hAnsi="黑体" w:eastAsia="黑体"/>
          <w:sz w:val="32"/>
        </w:rPr>
      </w:pPr>
      <w:r>
        <w:rPr>
          <w:rFonts w:hint="eastAsia" w:ascii="黑体" w:hAnsi="黑体" w:eastAsia="黑体"/>
          <w:sz w:val="32"/>
        </w:rPr>
        <w:t>第一章 总则</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第一条 </w:t>
      </w:r>
      <w:r>
        <w:rPr>
          <w:rFonts w:hint="eastAsia" w:ascii="仿宋_GB2312" w:hAnsi="仿宋_GB2312" w:eastAsia="仿宋_GB2312" w:cs="仿宋_GB2312"/>
          <w:color w:val="000000"/>
          <w:kern w:val="0"/>
          <w:sz w:val="32"/>
          <w:szCs w:val="32"/>
        </w:rPr>
        <w:t xml:space="preserve">为保障浙江沿海主要港区水域船舶通航安全，提高船舶交通效率，依据《中华人民共和国海上交通安全法》《中华人民共和国船舶交通管理系统安全监督管理规则》《船舶进出港报告管理办法》等规定，制定本办法。 </w:t>
      </w:r>
    </w:p>
    <w:p>
      <w:pPr>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 xml:space="preserve">第二条 </w:t>
      </w:r>
      <w:r>
        <w:rPr>
          <w:rFonts w:hint="eastAsia" w:ascii="仿宋_GB2312" w:hAnsi="仿宋_GB2312" w:eastAsia="仿宋_GB2312" w:cs="仿宋_GB2312"/>
          <w:color w:val="000000"/>
          <w:kern w:val="0"/>
          <w:sz w:val="32"/>
          <w:szCs w:val="32"/>
        </w:rPr>
        <w:t>本办法适用水域为宁波舟山港核心港区及象山港水域、舟山中北部水域、乐清湾水域、嘉兴港水域等。</w:t>
      </w:r>
    </w:p>
    <w:p>
      <w:pPr>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 xml:space="preserve">第三条 </w:t>
      </w:r>
      <w:r>
        <w:rPr>
          <w:rFonts w:hint="eastAsia" w:ascii="仿宋_GB2312" w:hAnsi="仿宋_GB2312" w:eastAsia="仿宋_GB2312" w:cs="仿宋_GB2312"/>
          <w:color w:val="000000"/>
          <w:kern w:val="0"/>
          <w:sz w:val="32"/>
          <w:szCs w:val="32"/>
        </w:rPr>
        <w:t>本办法适用于以下船舶：外国籍船舶；危险品船舶；拖带船队等操纵能力受限的船舶；2000总吨及以上的其他中国籍船舶，其中拟通过虾峙门航道、条帚门航道、甬江口以及进出嘉兴港的为300总吨及以上的其他中国籍船舶。</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第四条 </w:t>
      </w:r>
      <w:r>
        <w:rPr>
          <w:rFonts w:hint="eastAsia" w:ascii="仿宋_GB2312" w:hAnsi="仿宋_GB2312" w:eastAsia="仿宋_GB2312" w:cs="仿宋_GB2312"/>
          <w:color w:val="000000"/>
          <w:kern w:val="0"/>
          <w:sz w:val="32"/>
          <w:szCs w:val="32"/>
        </w:rPr>
        <w:t>浙江沿海主要港区船舶交通组织应遵循安全畅通、公开透明、统一规范、便捷高效的原则。</w:t>
      </w:r>
    </w:p>
    <w:p>
      <w:pPr>
        <w:widowControl/>
        <w:spacing w:line="580" w:lineRule="exact"/>
        <w:ind w:firstLine="640" w:firstLineChars="200"/>
        <w:rPr>
          <w:rFonts w:ascii="仿宋_GB2312" w:hAnsi="宋体" w:eastAsia="仿宋_GB2312" w:cs="仿宋_GB2312"/>
          <w:color w:val="000000"/>
          <w:kern w:val="0"/>
          <w:sz w:val="32"/>
          <w:szCs w:val="32"/>
        </w:rPr>
      </w:pPr>
      <w:r>
        <w:rPr>
          <w:rFonts w:hint="eastAsia" w:ascii="仿宋_GB2312" w:hAnsi="仿宋_GB2312" w:eastAsia="仿宋_GB2312" w:cs="仿宋_GB2312"/>
          <w:sz w:val="32"/>
          <w:szCs w:val="32"/>
        </w:rPr>
        <w:t xml:space="preserve">第五条 </w:t>
      </w:r>
      <w:r>
        <w:rPr>
          <w:rFonts w:hint="eastAsia" w:ascii="仿宋_GB2312" w:hAnsi="仿宋_GB2312" w:eastAsia="仿宋_GB2312" w:cs="仿宋_GB2312"/>
          <w:color w:val="000000"/>
          <w:kern w:val="0"/>
          <w:sz w:val="32"/>
          <w:szCs w:val="32"/>
        </w:rPr>
        <w:t>中华人民共和国浙江海事局是浙江沿海主要港区船舶交通组织工作的主管机关，各分支局负责具体实施。</w:t>
      </w:r>
    </w:p>
    <w:p>
      <w:pPr>
        <w:spacing w:line="580" w:lineRule="exact"/>
        <w:ind w:firstLine="640" w:firstLineChars="200"/>
        <w:jc w:val="center"/>
        <w:rPr>
          <w:rFonts w:ascii="黑体" w:hAnsi="黑体" w:eastAsia="黑体"/>
          <w:sz w:val="32"/>
        </w:rPr>
      </w:pPr>
      <w:r>
        <w:rPr>
          <w:rFonts w:hint="eastAsia" w:ascii="黑体" w:hAnsi="黑体" w:eastAsia="黑体"/>
          <w:sz w:val="32"/>
        </w:rPr>
        <w:t>第二章 一般性规定</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val="en-US" w:eastAsia="zh-CN"/>
        </w:rPr>
        <w:t xml:space="preserve"> 主管机关应</w:t>
      </w:r>
      <w:bookmarkStart w:id="1" w:name="_GoBack"/>
      <w:bookmarkEnd w:id="1"/>
      <w:r>
        <w:rPr>
          <w:rFonts w:hint="eastAsia" w:ascii="仿宋_GB2312" w:hAnsi="仿宋_GB2312" w:eastAsia="仿宋_GB2312" w:cs="仿宋_GB2312"/>
          <w:sz w:val="32"/>
          <w:szCs w:val="32"/>
          <w:lang w:val="en-US" w:eastAsia="zh-CN"/>
        </w:rPr>
        <w:t>提升交通组织技术，创新交通组织机制，以科学划定交通组织区、合理控制安全间距、实施交通流错峰组织、船舶按号有序进出港等为途径，应用数字化服务平台，实行精准、高效、安全的海上交通组织。</w:t>
      </w:r>
      <w:r>
        <w:rPr>
          <w:rFonts w:hint="eastAsia" w:ascii="仿宋_GB2312" w:hAnsi="仿宋_GB2312" w:eastAsia="仿宋_GB2312" w:cs="仿宋_GB2312"/>
          <w:sz w:val="32"/>
          <w:szCs w:val="32"/>
        </w:rPr>
        <w:t xml:space="preserve"> </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通过本办法第二条规定水域的船舶应当</w:t>
      </w:r>
      <w:r>
        <w:rPr>
          <w:rFonts w:hint="eastAsia" w:ascii="仿宋_GB2312" w:hAnsi="仿宋_GB2312" w:eastAsia="仿宋_GB2312" w:cs="仿宋_GB2312"/>
          <w:color w:val="000000"/>
          <w:kern w:val="0"/>
          <w:sz w:val="32"/>
          <w:szCs w:val="32"/>
        </w:rPr>
        <w:t xml:space="preserve">在浙江海事局网站（www.zj.msa.gov.cn）的“船舶交通组织服务管理平台”（以下简称“平台”）或“浙海行”APP（以下简称“APP”）进行注册并遵守用户协议。 </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经注册的船舶可在平台或APP内报告航行作业动态，查询交通组织信息。</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color w:val="000000"/>
          <w:kern w:val="0"/>
          <w:sz w:val="32"/>
          <w:szCs w:val="32"/>
        </w:rPr>
        <w:t>在进出浙江沿海主要港区前一天1530时前,船舶应通过平台或APP报告船名、载货情况、靠离泊码头及时间、联系方式、拟通过各主要港区相关航道的时间等信息（具体见第三章相关规定）。</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eastAsia="zh-CN"/>
        </w:rPr>
        <w:t>九</w:t>
      </w:r>
      <w:r>
        <w:rPr>
          <w:rFonts w:hint="eastAsia" w:ascii="仿宋_GB2312" w:hAnsi="仿宋_GB2312" w:eastAsia="仿宋_GB2312" w:cs="仿宋_GB2312"/>
          <w:color w:val="000000"/>
          <w:kern w:val="0"/>
          <w:sz w:val="32"/>
          <w:szCs w:val="32"/>
        </w:rPr>
        <w:t>条 相关航道的交通组织以船舶申报时间为基础，优先保障以下船舶：重点物资运输船舶；有靠泊时间窗口限制的船舶；航行条件受限的船舶；其他特殊需求的船舶。</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eastAsia="zh-CN"/>
        </w:rPr>
        <w:t>十</w:t>
      </w:r>
      <w:r>
        <w:rPr>
          <w:rFonts w:hint="eastAsia" w:ascii="仿宋_GB2312" w:hAnsi="仿宋_GB2312" w:eastAsia="仿宋_GB2312" w:cs="仿宋_GB2312"/>
          <w:color w:val="000000"/>
          <w:kern w:val="0"/>
          <w:sz w:val="32"/>
          <w:szCs w:val="32"/>
        </w:rPr>
        <w:t>条 每日1630时，平台和APP公布次日船舶进出港交通组织信息并动态更新。</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正常显示AIS信号的船舶按公布时间通过报告线的，可不再向VTS报告过报告线相应动态。</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color w:val="000000"/>
          <w:kern w:val="0"/>
          <w:sz w:val="32"/>
          <w:szCs w:val="32"/>
        </w:rPr>
        <w:t>已公布的交通组织信息发生变更时，船舶应通过平台或APP报告变更情况：</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船舶进港时间推后的，在原时间3小时前报告；进港时间提前的，在新时间3小时前报告。 </w:t>
      </w:r>
    </w:p>
    <w:p>
      <w:pPr>
        <w:widowControl/>
        <w:spacing w:line="580" w:lineRule="exact"/>
        <w:ind w:firstLine="640" w:firstLineChars="200"/>
        <w:rPr>
          <w:rFonts w:ascii="仿宋_GB2312" w:hAnsi="仿宋_GB2312" w:eastAsia="仿宋_GB2312" w:cs="仿宋_GB2312"/>
        </w:rPr>
      </w:pPr>
      <w:r>
        <w:rPr>
          <w:rFonts w:hint="eastAsia" w:ascii="仿宋_GB2312" w:hAnsi="仿宋_GB2312" w:eastAsia="仿宋_GB2312" w:cs="仿宋_GB2312"/>
          <w:color w:val="000000"/>
          <w:kern w:val="0"/>
          <w:sz w:val="32"/>
          <w:szCs w:val="32"/>
        </w:rPr>
        <w:t>船舶出港时间发生变更的，应在明确时间后及时报告。</w:t>
      </w:r>
      <w:r>
        <w:rPr>
          <w:rFonts w:hint="eastAsia" w:ascii="仿宋_GB2312" w:hAnsi="仿宋_GB2312" w:eastAsia="仿宋_GB2312" w:cs="仿宋_GB2312"/>
          <w:color w:val="000000"/>
          <w:kern w:val="0"/>
          <w:sz w:val="31"/>
          <w:szCs w:val="31"/>
        </w:rPr>
        <w:t xml:space="preserve"> </w:t>
      </w:r>
    </w:p>
    <w:p>
      <w:pPr>
        <w:widowControl/>
        <w:spacing w:line="580" w:lineRule="exact"/>
        <w:ind w:firstLine="640" w:firstLineChars="200"/>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2"/>
          <w:szCs w:val="32"/>
        </w:rPr>
        <w:t>确因客观因素发生短时间计划变更的，在不影响他船计划的前提下，主管机关可予以临时交通组织。</w:t>
      </w:r>
      <w:r>
        <w:rPr>
          <w:rFonts w:hint="eastAsia" w:ascii="仿宋_GB2312" w:hAnsi="仿宋_GB2312" w:eastAsia="仿宋_GB2312" w:cs="仿宋_GB2312"/>
          <w:color w:val="000000"/>
          <w:kern w:val="0"/>
          <w:sz w:val="31"/>
          <w:szCs w:val="31"/>
        </w:rPr>
        <w:t xml:space="preserve"> </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color w:val="000000"/>
          <w:kern w:val="0"/>
          <w:sz w:val="32"/>
          <w:szCs w:val="32"/>
        </w:rPr>
        <w:t>相关部门应按平台发布的船舶进出港交通组织信息安排引航、拖轮作业计划。引航员、拖轮应按计划时间、地点开展作业。</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w:t>
      </w: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color w:val="000000"/>
          <w:kern w:val="0"/>
          <w:sz w:val="32"/>
          <w:szCs w:val="32"/>
        </w:rPr>
        <w:t>条 主管机关可根据相关航道饱和度、突发事件、交通管制等情况，对船舶进出港计划进行调整或取消。相关航道恢复通航后，船舶应重新报告进出港计划。</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color w:val="000000"/>
          <w:kern w:val="0"/>
          <w:sz w:val="32"/>
          <w:szCs w:val="32"/>
        </w:rPr>
        <w:t>条 未纳入本办法交通组织的船舶，不应妨碍编队船舶的正常航行。</w:t>
      </w:r>
    </w:p>
    <w:p>
      <w:pPr>
        <w:widowControl/>
        <w:spacing w:line="580" w:lineRule="exact"/>
        <w:ind w:firstLine="640" w:firstLineChars="200"/>
        <w:jc w:val="center"/>
        <w:rPr>
          <w:rFonts w:ascii="黑体" w:hAnsi="黑体" w:eastAsia="黑体"/>
          <w:sz w:val="32"/>
        </w:rPr>
      </w:pPr>
      <w:r>
        <w:rPr>
          <w:rFonts w:hint="eastAsia" w:ascii="黑体" w:hAnsi="黑体" w:eastAsia="黑体"/>
          <w:sz w:val="32"/>
        </w:rPr>
        <w:t>第三章 区域交通组织原则</w:t>
      </w:r>
    </w:p>
    <w:p>
      <w:pPr>
        <w:spacing w:line="580" w:lineRule="exact"/>
        <w:ind w:firstLine="640" w:firstLineChars="200"/>
        <w:jc w:val="center"/>
        <w:rPr>
          <w:rFonts w:ascii="黑体" w:hAnsi="黑体" w:eastAsia="黑体"/>
          <w:sz w:val="32"/>
        </w:rPr>
      </w:pPr>
      <w:r>
        <w:rPr>
          <w:rFonts w:hint="eastAsia" w:ascii="黑体" w:hAnsi="黑体" w:eastAsia="黑体"/>
          <w:sz w:val="32"/>
        </w:rPr>
        <w:t>第一节 宁波舟山港核心港区及象山港水域</w:t>
      </w:r>
    </w:p>
    <w:p>
      <w:pPr>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color w:val="000000"/>
          <w:kern w:val="0"/>
          <w:sz w:val="32"/>
          <w:szCs w:val="32"/>
        </w:rPr>
        <w:t>拟通过虾峙门、条帚门、双屿门（青龙门）、西堠门、金塘大桥、象山港公路大桥、甬江口等航道的船舶需要报告相应的通过时间：</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1.进出虾峙门航道为过L1报告线（进港）时间和抵达1号警戒区（出港）的时间； </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2.进出条帚门航道为过L2报告线（进港）时间和抵达7号警戒区（出港）的时间； </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3.进出双屿门（青龙门）航道为过 L3 报告线的时间；</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4.进出西堠门大桥为过通航孔的时间； </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5.进出金塘大桥为过金塘大桥主通航孔的时间；</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6.进出象山港公路大桥为过通航孔的时间；</w:t>
      </w:r>
    </w:p>
    <w:p>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7.进出甬江口为过L4报告线的时间。</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color w:val="000000"/>
          <w:kern w:val="0"/>
          <w:sz w:val="32"/>
          <w:szCs w:val="32"/>
        </w:rPr>
        <w:t>对进港船舶的交通组织要求：</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1.通过虾峙门、条帚门航道的进港船舶，应避免在122°24′E至 L1/L2 报告线之间水域并行或追越，其中船长200米以上的船舶应与前船保持1海里以上距离，载</w:t>
      </w:r>
      <w:r>
        <w:rPr>
          <w:rFonts w:hint="eastAsia" w:ascii="仿宋_GB2312" w:hAnsi="仿宋_GB2312" w:eastAsia="仿宋_GB2312" w:cs="仿宋_GB2312"/>
          <w:color w:val="000000"/>
          <w:kern w:val="0"/>
          <w:sz w:val="31"/>
          <w:szCs w:val="31"/>
        </w:rPr>
        <w:t>重吨大于25万吨的油轮</w:t>
      </w:r>
      <w:r>
        <w:rPr>
          <w:rFonts w:hint="eastAsia" w:ascii="仿宋_GB2312" w:hAnsi="仿宋_GB2312" w:eastAsia="仿宋_GB2312" w:cs="仿宋_GB2312"/>
          <w:color w:val="000000"/>
          <w:kern w:val="0"/>
          <w:sz w:val="32"/>
          <w:szCs w:val="32"/>
        </w:rPr>
        <w:t>应与前船保持1.5海里以上距离。</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2.沿浙江沿海公共航路航行进入一号管理区的船舶，应在29°37′N至29°43′N之间水域调整航向。</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3.西行驶入甬江口的船舶，在鹅礁以西水域，应避免并行或追越且航速不超过8节。</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第十</w:t>
      </w:r>
      <w:r>
        <w:rPr>
          <w:rFonts w:hint="eastAsia" w:ascii="仿宋_GB2312" w:hAnsi="仿宋_GB2312" w:eastAsia="仿宋_GB2312" w:cs="仿宋_GB2312"/>
          <w:color w:val="000000"/>
          <w:kern w:val="0"/>
          <w:sz w:val="32"/>
          <w:szCs w:val="32"/>
          <w:lang w:eastAsia="zh-CN"/>
        </w:rPr>
        <w:t>七</w:t>
      </w:r>
      <w:r>
        <w:rPr>
          <w:rFonts w:hint="eastAsia" w:ascii="仿宋_GB2312" w:hAnsi="仿宋_GB2312" w:eastAsia="仿宋_GB2312" w:cs="仿宋_GB2312"/>
          <w:color w:val="000000"/>
          <w:kern w:val="0"/>
          <w:sz w:val="32"/>
          <w:szCs w:val="32"/>
        </w:rPr>
        <w:t xml:space="preserve">条 对出港船舶的交通组织要求： </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1.从锚地起锚的出港船舶不应妨碍在定线制水域航行的船舶； </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2.第18分道通航制的出港船舶不应妨碍第2分道通航制的出港船舶； </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通过虾峙门、条帚门航道的出港船舶应沿交通组织区东行出港，拟使用浙江沿海东航路的建议在122°34′E以东转向，拟使用浙江沿海外航路的建议在122°44′E以东转向，不使用公共航路的船舶建议在外航路以东转向。</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color w:val="000000"/>
          <w:kern w:val="0"/>
          <w:sz w:val="32"/>
          <w:szCs w:val="32"/>
        </w:rPr>
        <w:t xml:space="preserve">虾峙门、条帚门航道在以下时段实施重点疏导： </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1.每日（白天）镇海高潮前4小时至镇海高潮前1小时； </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2.大雾、大风等恶劣天气影响后，船舶集中进出港期间； </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3.水上交通管制解除后船舶集中进出港期间； </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4.应急抢险等其他特殊时段。 </w:t>
      </w:r>
    </w:p>
    <w:p>
      <w:pPr>
        <w:widowControl/>
        <w:spacing w:line="580" w:lineRule="exact"/>
        <w:ind w:firstLine="640" w:firstLineChars="200"/>
        <w:rPr>
          <w:rFonts w:ascii="仿宋_GB2312" w:hAnsi="仿宋_GB2312" w:eastAsia="仿宋_GB2312" w:cs="仿宋_GB2312"/>
          <w:sz w:val="32"/>
          <w:szCs w:val="32"/>
        </w:rPr>
      </w:pPr>
      <w:bookmarkStart w:id="0" w:name="_Hlk132275967"/>
      <w:r>
        <w:rPr>
          <w:rFonts w:hint="eastAsia" w:ascii="仿宋_GB2312" w:hAnsi="仿宋_GB2312" w:eastAsia="仿宋_GB2312" w:cs="仿宋_GB2312"/>
          <w:color w:val="000000"/>
          <w:kern w:val="0"/>
          <w:sz w:val="32"/>
          <w:szCs w:val="32"/>
        </w:rPr>
        <w:t>航速低于7节的船舶应避开重点疏导时段通过虾峙门航道。未通过平台或APP报告动态的船舶，不应在重点疏导时段进入虾峙门、条帚门航道。</w:t>
      </w:r>
    </w:p>
    <w:bookmarkEnd w:id="0"/>
    <w:p>
      <w:pPr>
        <w:spacing w:line="580" w:lineRule="exact"/>
        <w:ind w:firstLine="640" w:firstLineChars="200"/>
        <w:jc w:val="center"/>
        <w:outlineLvl w:val="1"/>
        <w:rPr>
          <w:rFonts w:ascii="黑体" w:hAnsi="黑体" w:eastAsia="黑体"/>
          <w:sz w:val="32"/>
          <w:lang w:val="en"/>
        </w:rPr>
      </w:pPr>
      <w:r>
        <w:rPr>
          <w:rFonts w:hint="eastAsia" w:ascii="黑体" w:hAnsi="黑体" w:eastAsia="黑体"/>
          <w:sz w:val="32"/>
        </w:rPr>
        <w:t>第二节 舟山中北部水域</w:t>
      </w:r>
    </w:p>
    <w:p>
      <w:pPr>
        <w:pStyle w:val="3"/>
        <w:autoSpaceDE w:val="0"/>
        <w:autoSpaceDN w:val="0"/>
        <w:spacing w:line="580" w:lineRule="exact"/>
        <w:ind w:firstLine="640" w:firstLineChars="200"/>
        <w:outlineLvl w:val="2"/>
        <w:rPr>
          <w:rFonts w:ascii="仿宋_GB2312" w:hAnsi="仿宋_GB2312" w:eastAsia="仿宋_GB2312" w:cs="仿宋_GB2312"/>
          <w:spacing w:val="-1"/>
        </w:rPr>
      </w:pPr>
      <w:r>
        <w:rPr>
          <w:rFonts w:hint="eastAsia" w:ascii="仿宋_GB2312" w:hAnsi="仿宋_GB2312" w:eastAsia="仿宋_GB2312" w:cs="仿宋_GB2312"/>
          <w:bCs/>
          <w:color w:val="000000"/>
        </w:rPr>
        <w:t>第十</w:t>
      </w:r>
      <w:r>
        <w:rPr>
          <w:rFonts w:hint="eastAsia" w:ascii="仿宋_GB2312" w:hAnsi="仿宋_GB2312" w:eastAsia="仿宋_GB2312" w:cs="仿宋_GB2312"/>
          <w:bCs/>
          <w:color w:val="000000"/>
          <w:lang w:eastAsia="zh-CN"/>
        </w:rPr>
        <w:t>九</w:t>
      </w:r>
      <w:r>
        <w:rPr>
          <w:rFonts w:hint="eastAsia" w:ascii="仿宋_GB2312" w:hAnsi="仿宋_GB2312" w:eastAsia="仿宋_GB2312" w:cs="仿宋_GB2312"/>
          <w:bCs/>
          <w:color w:val="000000"/>
        </w:rPr>
        <w:t>条</w:t>
      </w:r>
      <w:r>
        <w:rPr>
          <w:rFonts w:hint="eastAsia" w:ascii="仿宋_GB2312" w:hAnsi="仿宋_GB2312" w:eastAsia="仿宋_GB2312" w:cs="仿宋_GB2312"/>
          <w:bCs/>
          <w:color w:val="000000"/>
          <w:lang w:val="en-US"/>
        </w:rPr>
        <w:t xml:space="preserve"> </w:t>
      </w:r>
      <w:r>
        <w:rPr>
          <w:rFonts w:hint="eastAsia" w:ascii="仿宋_GB2312" w:hAnsi="仿宋_GB2312" w:eastAsia="仿宋_GB2312" w:cs="仿宋_GB2312"/>
          <w:bCs/>
          <w:color w:val="000000"/>
        </w:rPr>
        <w:t>拟</w:t>
      </w:r>
      <w:r>
        <w:rPr>
          <w:rFonts w:hint="eastAsia" w:ascii="仿宋_GB2312" w:hAnsi="仿宋_GB2312" w:eastAsia="仿宋_GB2312" w:cs="仿宋_GB2312"/>
          <w:spacing w:val="-1"/>
        </w:rPr>
        <w:t>通过舟山中北部水域舟岱跨海大桥、</w:t>
      </w:r>
      <w:r>
        <w:rPr>
          <w:rFonts w:hint="eastAsia" w:ascii="仿宋_GB2312" w:hAnsi="仿宋_GB2312" w:eastAsia="仿宋_GB2312" w:cs="仿宋_GB2312"/>
          <w:bCs/>
          <w:color w:val="000000"/>
        </w:rPr>
        <w:t>马岙公共航道、</w:t>
      </w:r>
      <w:r>
        <w:rPr>
          <w:rFonts w:hint="eastAsia" w:ascii="仿宋_GB2312" w:hAnsi="仿宋_GB2312" w:eastAsia="仿宋_GB2312" w:cs="仿宋_GB2312"/>
          <w:spacing w:val="-1"/>
        </w:rPr>
        <w:t>舟山中部港域西航道（北段）、马迹山</w:t>
      </w:r>
      <w:r>
        <w:rPr>
          <w:rFonts w:hint="eastAsia" w:ascii="仿宋_GB2312" w:hAnsi="仿宋_GB2312" w:eastAsia="仿宋_GB2312" w:cs="仿宋_GB2312"/>
          <w:spacing w:val="-1"/>
          <w:lang w:val="en"/>
        </w:rPr>
        <w:t>港</w:t>
      </w:r>
      <w:r>
        <w:rPr>
          <w:rFonts w:hint="eastAsia" w:ascii="仿宋_GB2312" w:hAnsi="仿宋_GB2312" w:eastAsia="仿宋_GB2312" w:cs="仿宋_GB2312"/>
          <w:spacing w:val="-1"/>
        </w:rPr>
        <w:t>进港航道和东航路支线的船舶</w:t>
      </w:r>
      <w:r>
        <w:rPr>
          <w:rFonts w:hint="eastAsia" w:ascii="仿宋_GB2312" w:hAnsi="仿宋_GB2312" w:eastAsia="仿宋_GB2312" w:cs="仿宋_GB2312"/>
          <w:color w:val="000000"/>
          <w:kern w:val="0"/>
          <w:lang w:bidi="ar"/>
        </w:rPr>
        <w:t>需要报告相应</w:t>
      </w:r>
      <w:r>
        <w:rPr>
          <w:rFonts w:hint="eastAsia" w:ascii="仿宋_GB2312" w:hAnsi="仿宋_GB2312" w:eastAsia="仿宋_GB2312" w:cs="仿宋_GB2312"/>
          <w:color w:val="000000"/>
          <w:kern w:val="0"/>
          <w:lang w:val="en-US" w:bidi="ar"/>
        </w:rPr>
        <w:t>的</w:t>
      </w:r>
      <w:r>
        <w:rPr>
          <w:rFonts w:hint="eastAsia" w:ascii="仿宋_GB2312" w:hAnsi="仿宋_GB2312" w:eastAsia="仿宋_GB2312" w:cs="仿宋_GB2312"/>
          <w:color w:val="000000"/>
          <w:kern w:val="0"/>
          <w:lang w:bidi="ar"/>
        </w:rPr>
        <w:t>通过时间：</w:t>
      </w:r>
    </w:p>
    <w:p>
      <w:pPr>
        <w:pStyle w:val="3"/>
        <w:ind w:firstLine="636" w:firstLineChars="200"/>
        <w:outlineLvl w:val="2"/>
        <w:rPr>
          <w:rFonts w:ascii="仿宋_GB2312" w:hAnsi="仿宋_GB2312" w:eastAsia="仿宋_GB2312" w:cs="仿宋_GB2312"/>
        </w:rPr>
      </w:pPr>
      <w:r>
        <w:rPr>
          <w:rFonts w:hint="eastAsia" w:ascii="仿宋_GB2312" w:hAnsi="仿宋_GB2312" w:eastAsia="仿宋_GB2312" w:cs="仿宋_GB2312"/>
          <w:spacing w:val="-1"/>
          <w:lang w:val="en-US"/>
        </w:rPr>
        <w:t>1.</w:t>
      </w:r>
      <w:r>
        <w:rPr>
          <w:rFonts w:hint="eastAsia" w:ascii="仿宋_GB2312" w:hAnsi="仿宋_GB2312" w:eastAsia="仿宋_GB2312" w:cs="仿宋_GB2312"/>
          <w:spacing w:val="-1"/>
        </w:rPr>
        <w:t>进出舟山中部港域西航道（南段）航经舟岱跨海大桥主通航孔为过主通航孔时间；</w:t>
      </w:r>
    </w:p>
    <w:p>
      <w:pPr>
        <w:pStyle w:val="3"/>
        <w:autoSpaceDE w:val="0"/>
        <w:autoSpaceDN w:val="0"/>
        <w:spacing w:line="580" w:lineRule="exact"/>
        <w:ind w:firstLine="636" w:firstLineChars="200"/>
        <w:outlineLvl w:val="2"/>
        <w:rPr>
          <w:rFonts w:ascii="仿宋_GB2312" w:hAnsi="仿宋_GB2312" w:eastAsia="仿宋_GB2312" w:cs="仿宋_GB2312"/>
          <w:spacing w:val="-1"/>
        </w:rPr>
      </w:pPr>
      <w:r>
        <w:rPr>
          <w:rFonts w:hint="eastAsia" w:ascii="仿宋_GB2312" w:hAnsi="仿宋_GB2312" w:eastAsia="仿宋_GB2312" w:cs="仿宋_GB2312"/>
          <w:spacing w:val="-1"/>
          <w:lang w:val="en-US"/>
        </w:rPr>
        <w:t>2.</w:t>
      </w:r>
      <w:r>
        <w:rPr>
          <w:rFonts w:hint="eastAsia" w:ascii="仿宋_GB2312" w:hAnsi="仿宋_GB2312" w:eastAsia="仿宋_GB2312" w:cs="仿宋_GB2312"/>
          <w:spacing w:val="-1"/>
        </w:rPr>
        <w:t>进出</w:t>
      </w:r>
      <w:r>
        <w:rPr>
          <w:rFonts w:hint="eastAsia" w:ascii="仿宋_GB2312" w:hAnsi="仿宋_GB2312" w:eastAsia="仿宋_GB2312" w:cs="仿宋_GB2312"/>
          <w:bCs/>
          <w:color w:val="000000"/>
        </w:rPr>
        <w:t>马岙公共航道</w:t>
      </w:r>
      <w:r>
        <w:rPr>
          <w:rFonts w:hint="eastAsia" w:ascii="仿宋_GB2312" w:hAnsi="仿宋_GB2312" w:eastAsia="仿宋_GB2312" w:cs="仿宋_GB2312"/>
          <w:spacing w:val="-1"/>
        </w:rPr>
        <w:t>为过</w:t>
      </w:r>
      <w:r>
        <w:rPr>
          <w:rFonts w:hint="eastAsia" w:ascii="仿宋_GB2312" w:hAnsi="仿宋_GB2312" w:eastAsia="仿宋_GB2312" w:cs="仿宋_GB2312"/>
          <w:spacing w:val="-1"/>
          <w:lang w:val="en-US"/>
        </w:rPr>
        <w:t>Z1报告线</w:t>
      </w:r>
      <w:r>
        <w:rPr>
          <w:rFonts w:hint="eastAsia" w:ascii="仿宋_GB2312" w:hAnsi="仿宋_GB2312" w:eastAsia="仿宋_GB2312" w:cs="仿宋_GB2312"/>
          <w:spacing w:val="-1"/>
        </w:rPr>
        <w:t>时间；</w:t>
      </w:r>
    </w:p>
    <w:p>
      <w:pPr>
        <w:pStyle w:val="3"/>
        <w:spacing w:before="11"/>
        <w:ind w:firstLine="636" w:firstLineChars="200"/>
        <w:outlineLvl w:val="2"/>
        <w:rPr>
          <w:rFonts w:ascii="仿宋_GB2312" w:hAnsi="仿宋_GB2312" w:eastAsia="仿宋_GB2312" w:cs="仿宋_GB2312"/>
        </w:rPr>
      </w:pPr>
      <w:r>
        <w:rPr>
          <w:rFonts w:hint="eastAsia" w:ascii="仿宋_GB2312" w:hAnsi="仿宋_GB2312" w:eastAsia="仿宋_GB2312" w:cs="仿宋_GB2312"/>
          <w:spacing w:val="-1"/>
          <w:lang w:val="en-US"/>
        </w:rPr>
        <w:t>3.</w:t>
      </w:r>
      <w:r>
        <w:rPr>
          <w:rFonts w:hint="eastAsia" w:ascii="仿宋_GB2312" w:hAnsi="仿宋_GB2312" w:eastAsia="仿宋_GB2312" w:cs="仿宋_GB2312"/>
          <w:spacing w:val="-1"/>
        </w:rPr>
        <w:t>进出舟山中部港域西航道（北段）为过</w:t>
      </w:r>
      <w:r>
        <w:rPr>
          <w:rFonts w:hint="eastAsia" w:ascii="仿宋_GB2312" w:hAnsi="仿宋_GB2312" w:eastAsia="仿宋_GB2312" w:cs="仿宋_GB2312"/>
          <w:spacing w:val="-1"/>
          <w:lang w:val="en-US"/>
        </w:rPr>
        <w:t>Z2报告线</w:t>
      </w:r>
      <w:r>
        <w:rPr>
          <w:rFonts w:hint="eastAsia" w:ascii="仿宋_GB2312" w:hAnsi="仿宋_GB2312" w:eastAsia="仿宋_GB2312" w:cs="仿宋_GB2312"/>
          <w:spacing w:val="-1"/>
        </w:rPr>
        <w:t>时间；</w:t>
      </w:r>
    </w:p>
    <w:p>
      <w:pPr>
        <w:pStyle w:val="3"/>
        <w:autoSpaceDE w:val="0"/>
        <w:autoSpaceDN w:val="0"/>
        <w:spacing w:line="580" w:lineRule="exact"/>
        <w:ind w:firstLine="636" w:firstLineChars="200"/>
        <w:outlineLvl w:val="2"/>
        <w:rPr>
          <w:rFonts w:ascii="仿宋_GB2312" w:hAnsi="仿宋_GB2312" w:eastAsia="仿宋_GB2312" w:cs="仿宋_GB2312"/>
          <w:spacing w:val="-1"/>
        </w:rPr>
      </w:pPr>
      <w:r>
        <w:rPr>
          <w:rFonts w:hint="eastAsia" w:ascii="仿宋_GB2312" w:hAnsi="仿宋_GB2312" w:eastAsia="仿宋_GB2312" w:cs="仿宋_GB2312"/>
          <w:spacing w:val="-1"/>
          <w:lang w:val="en-US"/>
        </w:rPr>
        <w:t>4.</w:t>
      </w:r>
      <w:r>
        <w:rPr>
          <w:rFonts w:hint="eastAsia" w:ascii="仿宋_GB2312" w:hAnsi="仿宋_GB2312" w:eastAsia="仿宋_GB2312" w:cs="仿宋_GB2312"/>
          <w:spacing w:val="-1"/>
        </w:rPr>
        <w:t>进出马迹山</w:t>
      </w:r>
      <w:r>
        <w:rPr>
          <w:rFonts w:hint="eastAsia" w:ascii="仿宋_GB2312" w:hAnsi="仿宋_GB2312" w:eastAsia="仿宋_GB2312" w:cs="仿宋_GB2312"/>
          <w:spacing w:val="-1"/>
          <w:lang w:val="en"/>
        </w:rPr>
        <w:t>港</w:t>
      </w:r>
      <w:r>
        <w:rPr>
          <w:rFonts w:hint="eastAsia" w:ascii="仿宋_GB2312" w:hAnsi="仿宋_GB2312" w:eastAsia="仿宋_GB2312" w:cs="仿宋_GB2312"/>
          <w:spacing w:val="-1"/>
        </w:rPr>
        <w:t>进港航道和东航路支线为过</w:t>
      </w:r>
      <w:r>
        <w:rPr>
          <w:rFonts w:hint="eastAsia" w:ascii="仿宋_GB2312" w:hAnsi="仿宋_GB2312" w:eastAsia="仿宋_GB2312" w:cs="仿宋_GB2312"/>
          <w:spacing w:val="-1"/>
          <w:lang w:val="en-US"/>
        </w:rPr>
        <w:t>B3报告线</w:t>
      </w:r>
      <w:r>
        <w:rPr>
          <w:rFonts w:hint="eastAsia" w:ascii="仿宋_GB2312" w:hAnsi="仿宋_GB2312" w:eastAsia="仿宋_GB2312" w:cs="仿宋_GB2312"/>
          <w:spacing w:val="-1"/>
        </w:rPr>
        <w:t>时间。</w:t>
      </w:r>
    </w:p>
    <w:p>
      <w:pPr>
        <w:pStyle w:val="3"/>
        <w:autoSpaceDE w:val="0"/>
        <w:autoSpaceDN w:val="0"/>
        <w:spacing w:line="580" w:lineRule="exact"/>
        <w:ind w:firstLine="636" w:firstLineChars="200"/>
        <w:outlineLvl w:val="2"/>
        <w:rPr>
          <w:rFonts w:ascii="仿宋_GB2312" w:hAnsi="仿宋_GB2312" w:eastAsia="仿宋_GB2312" w:cs="仿宋_GB2312"/>
          <w:spacing w:val="-1"/>
        </w:rPr>
      </w:pPr>
      <w:r>
        <w:rPr>
          <w:rFonts w:hint="eastAsia" w:ascii="仿宋_GB2312" w:hAnsi="仿宋_GB2312" w:eastAsia="仿宋_GB2312" w:cs="仿宋_GB2312"/>
          <w:spacing w:val="-1"/>
        </w:rPr>
        <w:t>第</w:t>
      </w:r>
      <w:r>
        <w:rPr>
          <w:rFonts w:hint="eastAsia" w:ascii="仿宋_GB2312" w:hAnsi="仿宋_GB2312" w:eastAsia="仿宋_GB2312" w:cs="仿宋_GB2312"/>
          <w:spacing w:val="-1"/>
          <w:lang w:eastAsia="zh-CN"/>
        </w:rPr>
        <w:t>二十</w:t>
      </w:r>
      <w:r>
        <w:rPr>
          <w:rFonts w:hint="eastAsia" w:ascii="仿宋_GB2312" w:hAnsi="仿宋_GB2312" w:eastAsia="仿宋_GB2312" w:cs="仿宋_GB2312"/>
          <w:spacing w:val="-1"/>
        </w:rPr>
        <w:t>条 拟通过灌门航道、龟山航道的船舶交通组织要求：</w:t>
      </w:r>
    </w:p>
    <w:p>
      <w:pPr>
        <w:pStyle w:val="3"/>
        <w:autoSpaceDE w:val="0"/>
        <w:autoSpaceDN w:val="0"/>
        <w:spacing w:line="580" w:lineRule="exact"/>
        <w:ind w:firstLine="636" w:firstLineChars="200"/>
        <w:outlineLvl w:val="2"/>
        <w:rPr>
          <w:rFonts w:ascii="仿宋_GB2312" w:hAnsi="仿宋_GB2312" w:eastAsia="仿宋_GB2312" w:cs="仿宋_GB2312"/>
          <w:spacing w:val="-1"/>
        </w:rPr>
      </w:pPr>
      <w:r>
        <w:rPr>
          <w:rFonts w:hint="eastAsia" w:ascii="仿宋_GB2312" w:hAnsi="仿宋_GB2312" w:eastAsia="仿宋_GB2312" w:cs="仿宋_GB2312"/>
          <w:spacing w:val="-1"/>
        </w:rPr>
        <w:t>1.《舟山灌门航道、龟山航道通航安全管理规定》定义的大吨位船舶和大型拖带船组，拟通过灌门、龟山航门前，应在平台或APP内申请交通管制，并落实申请引航、申请拖轮助航等通航安全保障措施；</w:t>
      </w:r>
    </w:p>
    <w:p>
      <w:pPr>
        <w:pStyle w:val="3"/>
        <w:autoSpaceDE w:val="0"/>
        <w:autoSpaceDN w:val="0"/>
        <w:spacing w:line="580" w:lineRule="exact"/>
        <w:ind w:firstLine="636" w:firstLineChars="200"/>
        <w:outlineLvl w:val="2"/>
        <w:rPr>
          <w:rFonts w:ascii="仿宋_GB2312" w:hAnsi="仿宋_GB2312" w:eastAsia="仿宋_GB2312" w:cs="仿宋_GB2312"/>
          <w:spacing w:val="-1"/>
        </w:rPr>
      </w:pPr>
      <w:r>
        <w:rPr>
          <w:rFonts w:hint="eastAsia" w:ascii="仿宋_GB2312" w:hAnsi="仿宋_GB2312" w:eastAsia="仿宋_GB2312" w:cs="仿宋_GB2312"/>
          <w:spacing w:val="-1"/>
        </w:rPr>
        <w:t>2.大吨位船舶和大型拖带船组在灌门航道、龟山航道航行时，应与前船保持1.5海里以上距离；</w:t>
      </w:r>
    </w:p>
    <w:p>
      <w:pPr>
        <w:pStyle w:val="3"/>
        <w:autoSpaceDE w:val="0"/>
        <w:autoSpaceDN w:val="0"/>
        <w:spacing w:line="580" w:lineRule="exact"/>
        <w:ind w:firstLine="636" w:firstLineChars="200"/>
        <w:outlineLvl w:val="2"/>
        <w:rPr>
          <w:rFonts w:ascii="仿宋_GB2312" w:hAnsi="仿宋_GB2312" w:eastAsia="仿宋_GB2312" w:cs="仿宋_GB2312"/>
          <w:spacing w:val="-1"/>
        </w:rPr>
      </w:pPr>
      <w:r>
        <w:rPr>
          <w:rFonts w:hint="eastAsia" w:ascii="仿宋_GB2312" w:hAnsi="仿宋_GB2312" w:eastAsia="仿宋_GB2312" w:cs="仿宋_GB2312"/>
          <w:spacing w:val="-1"/>
        </w:rPr>
        <w:t>3.每日（白天）流速小于1.5节的缓流时段为重点疏导时段；</w:t>
      </w:r>
    </w:p>
    <w:p>
      <w:pPr>
        <w:pStyle w:val="3"/>
        <w:autoSpaceDE w:val="0"/>
        <w:autoSpaceDN w:val="0"/>
        <w:spacing w:line="580" w:lineRule="exact"/>
        <w:ind w:firstLine="636" w:firstLineChars="200"/>
        <w:outlineLvl w:val="2"/>
        <w:rPr>
          <w:rFonts w:ascii="仿宋_GB2312" w:hAnsi="仿宋_GB2312" w:eastAsia="仿宋_GB2312" w:cs="仿宋_GB2312"/>
          <w:spacing w:val="-1"/>
        </w:rPr>
      </w:pPr>
      <w:r>
        <w:rPr>
          <w:rFonts w:hint="eastAsia" w:ascii="仿宋_GB2312" w:hAnsi="仿宋_GB2312" w:eastAsia="仿宋_GB2312" w:cs="仿宋_GB2312"/>
          <w:spacing w:val="-1"/>
        </w:rPr>
        <w:t>4.灌门航道、龟山航道在重点疏导时段主要为大吨位船舶和大型拖带船组使用；</w:t>
      </w:r>
    </w:p>
    <w:p>
      <w:pPr>
        <w:pStyle w:val="3"/>
        <w:autoSpaceDE w:val="0"/>
        <w:autoSpaceDN w:val="0"/>
        <w:spacing w:line="580" w:lineRule="exact"/>
        <w:ind w:firstLine="636" w:firstLineChars="200"/>
        <w:outlineLvl w:val="2"/>
        <w:rPr>
          <w:rFonts w:ascii="仿宋_GB2312" w:hAnsi="仿宋_GB2312" w:eastAsia="仿宋_GB2312" w:cs="仿宋_GB2312"/>
          <w:spacing w:val="-1"/>
        </w:rPr>
      </w:pPr>
      <w:r>
        <w:rPr>
          <w:rFonts w:hint="eastAsia" w:ascii="仿宋_GB2312" w:hAnsi="仿宋_GB2312" w:eastAsia="仿宋_GB2312" w:cs="仿宋_GB2312"/>
          <w:spacing w:val="-1"/>
        </w:rPr>
        <w:t>5.未通过平台或APP申请交通管制的大吨位船舶和大型拖带船组，不应进入灌门、龟山航门。</w:t>
      </w:r>
    </w:p>
    <w:p>
      <w:pPr>
        <w:spacing w:line="580" w:lineRule="exact"/>
        <w:ind w:firstLine="640" w:firstLineChars="200"/>
        <w:jc w:val="center"/>
        <w:rPr>
          <w:rFonts w:ascii="黑体" w:hAnsi="黑体" w:eastAsia="黑体"/>
          <w:sz w:val="32"/>
        </w:rPr>
      </w:pPr>
      <w:r>
        <w:rPr>
          <w:rFonts w:hint="eastAsia" w:ascii="黑体" w:hAnsi="黑体" w:eastAsia="黑体"/>
          <w:sz w:val="32"/>
        </w:rPr>
        <w:t>第三节 乐清湾水域</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w:t>
      </w: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条 拟通过黄门山和北爿山屿航门、南爿山屿和草屿灯桩航门、黄大峡航门的船舶应报告相应的通过时间：</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1.进出黄门山和北爿山屿航门、南爿山屿和草屿灯桩航门为过Y1（黄门山至草屿灯桩连线）报告线的时间。</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2.进出黄大峡航门为过N1（横址山至乌星屿灯桩连线）报告线的时间。</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w:t>
      </w:r>
      <w:r>
        <w:rPr>
          <w:rFonts w:hint="eastAsia" w:ascii="仿宋_GB2312" w:hAnsi="仿宋_GB2312" w:eastAsia="仿宋_GB2312" w:cs="仿宋_GB2312"/>
          <w:color w:val="000000"/>
          <w:kern w:val="0"/>
          <w:sz w:val="32"/>
          <w:szCs w:val="32"/>
          <w:lang w:eastAsia="zh-CN"/>
        </w:rPr>
        <w:t>二</w:t>
      </w:r>
      <w:r>
        <w:rPr>
          <w:rFonts w:hint="eastAsia" w:ascii="仿宋_GB2312" w:hAnsi="仿宋_GB2312" w:eastAsia="仿宋_GB2312" w:cs="仿宋_GB2312"/>
          <w:color w:val="000000"/>
          <w:kern w:val="0"/>
          <w:sz w:val="32"/>
          <w:szCs w:val="32"/>
        </w:rPr>
        <w:t>条 对进出港船舶的交通组织要求</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1.通过第一通航分道进港的船舶，应在1号警戒区之前进入航道；</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2.航经第二、第三分道通航制时，2万总吨以上的船舶应避免在该航段追越他船；</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3.起锚、离泊船舶不应妨碍在航道中正常航行的船舶；</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w:t>
      </w: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color w:val="000000"/>
          <w:kern w:val="0"/>
          <w:sz w:val="32"/>
          <w:szCs w:val="32"/>
        </w:rPr>
        <w:t>条 平台可提供引航、拖轮服务，有引航、拖轮作业需求的船舶可在进出乐清湾水域前一天1330时通过平台或APP报告。</w:t>
      </w:r>
    </w:p>
    <w:p>
      <w:pPr>
        <w:widowControl/>
        <w:spacing w:line="580" w:lineRule="exact"/>
        <w:ind w:firstLine="640" w:firstLineChars="200"/>
        <w:jc w:val="center"/>
        <w:rPr>
          <w:rFonts w:ascii="仿宋_GB2312" w:hAnsi="宋体" w:eastAsia="仿宋_GB2312" w:cs="仿宋_GB2312"/>
          <w:color w:val="000000"/>
          <w:kern w:val="0"/>
          <w:sz w:val="32"/>
          <w:szCs w:val="32"/>
        </w:rPr>
      </w:pPr>
      <w:r>
        <w:rPr>
          <w:rFonts w:hint="eastAsia" w:ascii="黑体" w:hAnsi="黑体" w:eastAsia="黑体" w:cs="黑体"/>
          <w:color w:val="000000"/>
          <w:kern w:val="0"/>
          <w:sz w:val="32"/>
          <w:szCs w:val="32"/>
        </w:rPr>
        <w:t>第四节 嘉兴港水域</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w:t>
      </w: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条 拟进出嘉兴港的船舶需报告相应的通过时间：</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1.进出独山港为通过嘉兴港进港调整线（30°33.6′E/121°27′N与30°31.2′E/121°27′N两点连线）和独山港进港线（30°37.6′E/121°12′N与30°40.6′E/121°18.6′N两点连线）时间。</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2.进出乍浦港、海盐港为通过嘉兴港进港调整线和乍浦、海盐港进港线（30°34.</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′E/121°</w:t>
      </w:r>
      <w:r>
        <w:rPr>
          <w:rFonts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′N与30°3</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′E/121°</w:t>
      </w: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′N两点连线）时间。</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3.途径嘉兴港为通过杭州湾跨海大桥通航孔时间，如经过嘉兴港进港调整线，则需增加填写。</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4.未经过嘉兴港进港调整线时，为通过对应港区进港线时间。</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w:t>
      </w:r>
      <w:r>
        <w:rPr>
          <w:rFonts w:hint="eastAsia" w:ascii="仿宋_GB2312" w:hAnsi="仿宋_GB2312" w:eastAsia="仿宋_GB2312" w:cs="仿宋_GB2312"/>
          <w:color w:val="000000"/>
          <w:kern w:val="0"/>
          <w:sz w:val="32"/>
          <w:szCs w:val="32"/>
          <w:lang w:eastAsia="zh-CN"/>
        </w:rPr>
        <w:t>五</w:t>
      </w:r>
      <w:r>
        <w:rPr>
          <w:rFonts w:hint="eastAsia" w:ascii="仿宋_GB2312" w:hAnsi="仿宋_GB2312" w:eastAsia="仿宋_GB2312" w:cs="仿宋_GB2312"/>
          <w:color w:val="000000"/>
          <w:kern w:val="0"/>
          <w:sz w:val="32"/>
          <w:szCs w:val="32"/>
        </w:rPr>
        <w:t>条 对进出港船舶的交通组织要求：</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1.船舶在嘉兴港进港调整线至东报告线之间应避免并行或追越；</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2.吃水大于10.5米以上的船舶应提前做好通过浅滩水域的各项安全准备工作。</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3.起锚船舶、大桥附近水域离泊船舶不应妨碍在航道中正常航行的船舶。</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w:t>
      </w:r>
      <w:r>
        <w:rPr>
          <w:rFonts w:hint="eastAsia" w:ascii="仿宋_GB2312" w:hAnsi="仿宋_GB2312" w:eastAsia="仿宋_GB2312" w:cs="仿宋_GB2312"/>
          <w:color w:val="000000"/>
          <w:kern w:val="0"/>
          <w:sz w:val="32"/>
          <w:szCs w:val="32"/>
          <w:lang w:eastAsia="zh-CN"/>
        </w:rPr>
        <w:t>六</w:t>
      </w:r>
      <w:r>
        <w:rPr>
          <w:rFonts w:hint="eastAsia" w:ascii="仿宋_GB2312" w:hAnsi="仿宋_GB2312" w:eastAsia="仿宋_GB2312" w:cs="仿宋_GB2312"/>
          <w:color w:val="000000"/>
          <w:kern w:val="0"/>
          <w:sz w:val="32"/>
          <w:szCs w:val="32"/>
        </w:rPr>
        <w:t>条 平台为引航机构、拖轮企业提供一体化交通组织服务。有引航需求的船舶在前一天1330时前提交申请，自引但有拖轮需求的船舶在前一天1500时前提交申请。相关单位应按自身职责及时作出安排。</w:t>
      </w:r>
    </w:p>
    <w:p>
      <w:pPr>
        <w:spacing w:line="580" w:lineRule="exact"/>
        <w:jc w:val="center"/>
        <w:rPr>
          <w:rFonts w:ascii="黑体" w:hAnsi="黑体" w:eastAsia="黑体"/>
          <w:sz w:val="32"/>
        </w:rPr>
      </w:pPr>
      <w:r>
        <w:rPr>
          <w:rFonts w:hint="eastAsia" w:ascii="黑体" w:hAnsi="黑体" w:eastAsia="黑体"/>
          <w:sz w:val="32"/>
        </w:rPr>
        <w:t>第四章 附则</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本办法所指的报告线、警戒区、交通组织区、分道通航制、管理区与主管机关公布的船舶定线制、船舶报告制、船舶交通管理系统安全监督管理规则的相关规定一致。</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w:t>
      </w:r>
      <w:r>
        <w:rPr>
          <w:rFonts w:hint="eastAsia" w:ascii="仿宋_GB2312" w:hAnsi="仿宋_GB2312" w:eastAsia="仿宋_GB2312" w:cs="仿宋_GB2312"/>
          <w:color w:val="000000"/>
          <w:kern w:val="0"/>
          <w:sz w:val="32"/>
          <w:szCs w:val="32"/>
          <w:lang w:eastAsia="zh-CN"/>
        </w:rPr>
        <w:t>八</w:t>
      </w:r>
      <w:r>
        <w:rPr>
          <w:rFonts w:hint="eastAsia" w:ascii="仿宋_GB2312" w:hAnsi="仿宋_GB2312" w:eastAsia="仿宋_GB2312" w:cs="仿宋_GB2312"/>
          <w:color w:val="000000"/>
          <w:kern w:val="0"/>
          <w:sz w:val="32"/>
          <w:szCs w:val="32"/>
        </w:rPr>
        <w:t>条 本办法中的航速是指船舶对地速度（SOG）。</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color w:val="000000"/>
          <w:kern w:val="0"/>
          <w:sz w:val="32"/>
          <w:szCs w:val="32"/>
        </w:rPr>
        <w:t>本办法关于航速和航行间距的要求，在任何情况下都不免除船长对本船安全航行的责任。</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color w:val="000000"/>
          <w:kern w:val="0"/>
          <w:sz w:val="32"/>
          <w:szCs w:val="32"/>
        </w:rPr>
        <w:t>船舶未按要求执行本办法的，主管机关将按照有关法律、法规、规章和规定予以处理。</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color w:val="000000"/>
          <w:kern w:val="0"/>
          <w:sz w:val="32"/>
          <w:szCs w:val="32"/>
        </w:rPr>
        <w:t>本办法有效期五年，自 XXXX 年 X 月 XX日起实施。</w:t>
      </w:r>
    </w:p>
    <w:p>
      <w:pPr>
        <w:widowControl/>
        <w:spacing w:line="580" w:lineRule="exact"/>
        <w:ind w:firstLine="640" w:firstLineChars="200"/>
        <w:rPr>
          <w:rFonts w:ascii="仿宋_GB2312" w:hAnsi="仿宋_GB2312" w:eastAsia="仿宋_GB2312" w:cs="仿宋_GB2312"/>
          <w:sz w:val="32"/>
          <w:szCs w:val="32"/>
        </w:rPr>
      </w:pPr>
    </w:p>
    <w:p>
      <w:pPr>
        <w:widowControl/>
        <w:spacing w:line="580" w:lineRule="exact"/>
        <w:ind w:firstLine="640" w:firstLineChars="200"/>
        <w:rPr>
          <w:rFonts w:ascii="仿宋_GB2312" w:hAnsi="仿宋_GB2312" w:eastAsia="仿宋_GB2312" w:cs="仿宋_GB2312"/>
          <w:color w:val="000000"/>
          <w:kern w:val="0"/>
          <w:sz w:val="32"/>
          <w:szCs w:val="32"/>
        </w:rPr>
      </w:pPr>
    </w:p>
    <w:p>
      <w:pPr>
        <w:widowControl/>
        <w:spacing w:line="580" w:lineRule="exact"/>
        <w:ind w:firstLine="640" w:firstLineChars="200"/>
        <w:rPr>
          <w:rFonts w:ascii="仿宋_GB2312" w:hAnsi="仿宋_GB2312" w:eastAsia="仿宋_GB2312" w:cs="仿宋_GB2312"/>
          <w:color w:val="000000"/>
          <w:kern w:val="0"/>
          <w:sz w:val="32"/>
          <w:szCs w:val="32"/>
          <w:highlight w:val="yellow"/>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姚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true">
                      <a:spLocks noChangeArrowheads="true"/>
                    </wps:cNvSpPr>
                    <wps:spPr bwMode="auto">
                      <a:xfrm>
                        <a:off x="0" y="0"/>
                        <a:ext cx="58420" cy="139700"/>
                      </a:xfrm>
                      <a:prstGeom prst="rect">
                        <a:avLst/>
                      </a:prstGeom>
                      <a:noFill/>
                      <a:ln>
                        <a:noFill/>
                      </a:ln>
                    </wps:spPr>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p>
                      </w:txbxContent>
                    </wps:txbx>
                    <wps:bodyPr rot="0" vert="horz" wrap="none" lIns="0" tIns="0" rIns="0" bIns="0" anchor="t" anchorCtr="false" upright="true">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y1u5d9AAAAACAQAADwAAAAAAAAABACAAAAA4AAAAZHJzL2Rvd25yZXYueG1sUEsBAhQA&#10;FAAAAAgAh07iQP8bLbTkAQAAvwMAAA4AAAAAAAAAAQAgAAAANQEAAGRycy9lMm9Eb2MueG1sUEsF&#10;BgAAAAAGAAYAWQEAAIsFA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3NzhjNmIyODkwNjE4ZjlkNTlhMjlkYTQyNTNiYTkifQ=="/>
  </w:docVars>
  <w:rsids>
    <w:rsidRoot w:val="00BF3578"/>
    <w:rsid w:val="00075DEE"/>
    <w:rsid w:val="000967DD"/>
    <w:rsid w:val="000F5856"/>
    <w:rsid w:val="00224ABF"/>
    <w:rsid w:val="00227F50"/>
    <w:rsid w:val="0025063A"/>
    <w:rsid w:val="00280169"/>
    <w:rsid w:val="002923FF"/>
    <w:rsid w:val="002C03A2"/>
    <w:rsid w:val="003169AF"/>
    <w:rsid w:val="00340644"/>
    <w:rsid w:val="00350B14"/>
    <w:rsid w:val="003669A6"/>
    <w:rsid w:val="003D0469"/>
    <w:rsid w:val="003E54AA"/>
    <w:rsid w:val="00406670"/>
    <w:rsid w:val="00442749"/>
    <w:rsid w:val="004A1A77"/>
    <w:rsid w:val="004C7273"/>
    <w:rsid w:val="004E673E"/>
    <w:rsid w:val="00523E85"/>
    <w:rsid w:val="0056498F"/>
    <w:rsid w:val="00594DBF"/>
    <w:rsid w:val="005A32F1"/>
    <w:rsid w:val="005A689C"/>
    <w:rsid w:val="005D2E60"/>
    <w:rsid w:val="005D4622"/>
    <w:rsid w:val="00623BE9"/>
    <w:rsid w:val="006251D2"/>
    <w:rsid w:val="006747D1"/>
    <w:rsid w:val="00701971"/>
    <w:rsid w:val="0072035E"/>
    <w:rsid w:val="007570C2"/>
    <w:rsid w:val="00763A37"/>
    <w:rsid w:val="00766F96"/>
    <w:rsid w:val="00772E2E"/>
    <w:rsid w:val="007B52E8"/>
    <w:rsid w:val="007D625F"/>
    <w:rsid w:val="007F089D"/>
    <w:rsid w:val="007F5B27"/>
    <w:rsid w:val="00806BCB"/>
    <w:rsid w:val="008357A8"/>
    <w:rsid w:val="0086272D"/>
    <w:rsid w:val="0087626A"/>
    <w:rsid w:val="00887DA4"/>
    <w:rsid w:val="008B3667"/>
    <w:rsid w:val="00922AB3"/>
    <w:rsid w:val="009444C8"/>
    <w:rsid w:val="0094799D"/>
    <w:rsid w:val="0098638C"/>
    <w:rsid w:val="009F086A"/>
    <w:rsid w:val="009F1D91"/>
    <w:rsid w:val="009F7C5C"/>
    <w:rsid w:val="00A36CBD"/>
    <w:rsid w:val="00A50EAD"/>
    <w:rsid w:val="00A65AB0"/>
    <w:rsid w:val="00A71C83"/>
    <w:rsid w:val="00A800B5"/>
    <w:rsid w:val="00AA64FE"/>
    <w:rsid w:val="00AB43BF"/>
    <w:rsid w:val="00AB6C94"/>
    <w:rsid w:val="00AE5179"/>
    <w:rsid w:val="00AE62A6"/>
    <w:rsid w:val="00B31F69"/>
    <w:rsid w:val="00B32698"/>
    <w:rsid w:val="00B66ED5"/>
    <w:rsid w:val="00B97303"/>
    <w:rsid w:val="00BB0EA6"/>
    <w:rsid w:val="00BB22C8"/>
    <w:rsid w:val="00BB4EA8"/>
    <w:rsid w:val="00BD1BA1"/>
    <w:rsid w:val="00BF3578"/>
    <w:rsid w:val="00C06863"/>
    <w:rsid w:val="00C17E8A"/>
    <w:rsid w:val="00C35DA1"/>
    <w:rsid w:val="00C71EF0"/>
    <w:rsid w:val="00C851C5"/>
    <w:rsid w:val="00CD7C98"/>
    <w:rsid w:val="00CF51C5"/>
    <w:rsid w:val="00D10851"/>
    <w:rsid w:val="00D20320"/>
    <w:rsid w:val="00D36E27"/>
    <w:rsid w:val="00D50328"/>
    <w:rsid w:val="00D50DBA"/>
    <w:rsid w:val="00D63374"/>
    <w:rsid w:val="00D8242D"/>
    <w:rsid w:val="00DB430F"/>
    <w:rsid w:val="00DE2ECC"/>
    <w:rsid w:val="00DE509E"/>
    <w:rsid w:val="00E667C7"/>
    <w:rsid w:val="00E94165"/>
    <w:rsid w:val="00EA113E"/>
    <w:rsid w:val="00EB43E3"/>
    <w:rsid w:val="00EF1EDF"/>
    <w:rsid w:val="00F14BBE"/>
    <w:rsid w:val="00FD0322"/>
    <w:rsid w:val="00FD5DFE"/>
    <w:rsid w:val="00FF14EF"/>
    <w:rsid w:val="02121371"/>
    <w:rsid w:val="02C0796F"/>
    <w:rsid w:val="036A1510"/>
    <w:rsid w:val="03EF5EB9"/>
    <w:rsid w:val="04675AEC"/>
    <w:rsid w:val="0A285C81"/>
    <w:rsid w:val="0A7B30EB"/>
    <w:rsid w:val="0C8925E3"/>
    <w:rsid w:val="0E71673E"/>
    <w:rsid w:val="0E7400B5"/>
    <w:rsid w:val="15DA1B53"/>
    <w:rsid w:val="15F81F08"/>
    <w:rsid w:val="161E6418"/>
    <w:rsid w:val="16970417"/>
    <w:rsid w:val="19B4194E"/>
    <w:rsid w:val="19FD5F20"/>
    <w:rsid w:val="1BEE1030"/>
    <w:rsid w:val="1D9873A5"/>
    <w:rsid w:val="1E854FF8"/>
    <w:rsid w:val="21E6008A"/>
    <w:rsid w:val="238A3FC0"/>
    <w:rsid w:val="25C8230D"/>
    <w:rsid w:val="27A75933"/>
    <w:rsid w:val="27FE57DD"/>
    <w:rsid w:val="28740F2C"/>
    <w:rsid w:val="29355616"/>
    <w:rsid w:val="2D8172D3"/>
    <w:rsid w:val="30135417"/>
    <w:rsid w:val="309F12AF"/>
    <w:rsid w:val="31DF3280"/>
    <w:rsid w:val="32BA3F48"/>
    <w:rsid w:val="333077D1"/>
    <w:rsid w:val="334C648B"/>
    <w:rsid w:val="33AF6948"/>
    <w:rsid w:val="33E93C73"/>
    <w:rsid w:val="371A4A20"/>
    <w:rsid w:val="37544CBB"/>
    <w:rsid w:val="395E6BA3"/>
    <w:rsid w:val="402F53AC"/>
    <w:rsid w:val="45F97EF6"/>
    <w:rsid w:val="46D52711"/>
    <w:rsid w:val="474936D4"/>
    <w:rsid w:val="48F67BEB"/>
    <w:rsid w:val="4DB52F87"/>
    <w:rsid w:val="4F304989"/>
    <w:rsid w:val="51002446"/>
    <w:rsid w:val="51CF236B"/>
    <w:rsid w:val="531445C2"/>
    <w:rsid w:val="537C3FAB"/>
    <w:rsid w:val="53C41B44"/>
    <w:rsid w:val="540B39ED"/>
    <w:rsid w:val="56690604"/>
    <w:rsid w:val="5BFE5E0F"/>
    <w:rsid w:val="5C521E18"/>
    <w:rsid w:val="5DAB1B0A"/>
    <w:rsid w:val="61D64C91"/>
    <w:rsid w:val="65C951F8"/>
    <w:rsid w:val="65E25401"/>
    <w:rsid w:val="65EF0E49"/>
    <w:rsid w:val="67E52C66"/>
    <w:rsid w:val="6C5E7031"/>
    <w:rsid w:val="6E6313E4"/>
    <w:rsid w:val="7101499D"/>
    <w:rsid w:val="71E13469"/>
    <w:rsid w:val="72C43009"/>
    <w:rsid w:val="737C091C"/>
    <w:rsid w:val="75E80790"/>
    <w:rsid w:val="7693762C"/>
    <w:rsid w:val="77AB533E"/>
    <w:rsid w:val="780305DD"/>
    <w:rsid w:val="7C705A0F"/>
    <w:rsid w:val="7CDF6C08"/>
    <w:rsid w:val="7D1C7A23"/>
    <w:rsid w:val="7EF1283D"/>
    <w:rsid w:val="7F280929"/>
    <w:rsid w:val="A7FF000F"/>
    <w:rsid w:val="B7FBE771"/>
    <w:rsid w:val="F6B5EFDC"/>
    <w:rsid w:val="FF750F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11"/>
    <w:qFormat/>
    <w:uiPriority w:val="1"/>
    <w:rPr>
      <w:rFonts w:ascii="宋体" w:hAnsi="宋体" w:eastAsia="宋体" w:cs="宋体"/>
      <w:sz w:val="32"/>
      <w:szCs w:val="32"/>
      <w:lang w:val="zh-CN" w:bidi="zh-CN"/>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unhideWhenUsed/>
    <w:qFormat/>
    <w:uiPriority w:val="99"/>
    <w:pPr>
      <w:ind w:firstLine="420" w:firstLineChars="200"/>
    </w:pPr>
  </w:style>
  <w:style w:type="character" w:customStyle="1" w:styleId="11">
    <w:name w:val="正文文本 字符"/>
    <w:basedOn w:val="7"/>
    <w:link w:val="3"/>
    <w:qFormat/>
    <w:uiPriority w:val="1"/>
    <w:rPr>
      <w:rFonts w:ascii="宋体" w:hAnsi="宋体" w:cs="宋体"/>
      <w:kern w:val="2"/>
      <w:sz w:val="32"/>
      <w:szCs w:val="3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532</Words>
  <Characters>3036</Characters>
  <Lines>25</Lines>
  <Paragraphs>7</Paragraphs>
  <TotalTime>31</TotalTime>
  <ScaleCrop>false</ScaleCrop>
  <LinksUpToDate>false</LinksUpToDate>
  <CharactersWithSpaces>3561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2023-04-13T12:44:00Z</dcterms:created>
  <dc:creator>dell</dc:creator>
  <cp:lastModifiedBy>kylin</cp:lastModifiedBy>
  <cp:lastPrinted>2023-04-19T12:47:47Z</cp:lastPrinted>
  <dcterms:modified xsi:type="dcterms:W3CDTF">2023-04-19T13:01:48Z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8970EF376E874459A1DAE7B81A28C36E</vt:lpwstr>
  </property>
</Properties>
</file>