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36"/>
          <w:szCs w:val="24"/>
        </w:rPr>
      </w:pP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36"/>
          <w:szCs w:val="24"/>
        </w:rPr>
      </w:pP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36"/>
          <w:szCs w:val="24"/>
        </w:rPr>
      </w:pP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36"/>
          <w:szCs w:val="24"/>
        </w:rPr>
      </w:pP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44"/>
          <w:szCs w:val="44"/>
        </w:rPr>
      </w:pPr>
      <w:r>
        <w:rPr>
          <w:rFonts w:hint="eastAsia" w:ascii="宋体" w:hAnsi="宋体" w:cs="Arial"/>
          <w:b/>
          <w:bCs/>
          <w:sz w:val="44"/>
          <w:szCs w:val="44"/>
        </w:rPr>
        <w:t>浙江海事局2019年度及第四季度辖区</w:t>
      </w: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44"/>
          <w:szCs w:val="44"/>
        </w:rPr>
      </w:pPr>
      <w:r>
        <w:rPr>
          <w:rFonts w:hint="eastAsia" w:ascii="宋体" w:hAnsi="宋体" w:cs="Arial"/>
          <w:b/>
          <w:bCs/>
          <w:sz w:val="44"/>
          <w:szCs w:val="44"/>
        </w:rPr>
        <w:t>水上安全形势分析报告</w:t>
      </w: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44"/>
          <w:szCs w:val="44"/>
        </w:rPr>
      </w:pP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44"/>
          <w:szCs w:val="44"/>
        </w:rPr>
      </w:pP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44"/>
          <w:szCs w:val="44"/>
        </w:rPr>
      </w:pP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44"/>
          <w:szCs w:val="44"/>
        </w:rPr>
      </w:pPr>
      <w:r>
        <w:rPr>
          <w:rFonts w:ascii="宋体" w:hAnsi="宋体" w:cs="Arial"/>
          <w:b/>
          <w:bCs/>
          <w:sz w:val="44"/>
          <w:szCs w:val="44"/>
        </w:rPr>
        <w:drawing>
          <wp:inline distT="0" distB="0" distL="0" distR="0">
            <wp:extent cx="2349500" cy="2349500"/>
            <wp:effectExtent l="19050" t="0" r="0" b="0"/>
            <wp:docPr id="1" name="图片 1" descr="中国海事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海事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44"/>
          <w:szCs w:val="44"/>
        </w:rPr>
      </w:pP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44"/>
          <w:szCs w:val="44"/>
        </w:rPr>
      </w:pP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44"/>
          <w:szCs w:val="44"/>
        </w:rPr>
      </w:pP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44"/>
          <w:szCs w:val="44"/>
        </w:rPr>
      </w:pP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44"/>
          <w:szCs w:val="44"/>
        </w:rPr>
      </w:pPr>
      <w:r>
        <w:rPr>
          <w:rFonts w:hint="eastAsia" w:ascii="宋体" w:hAnsi="宋体" w:cs="Arial"/>
          <w:b/>
          <w:bCs/>
          <w:sz w:val="44"/>
          <w:szCs w:val="44"/>
        </w:rPr>
        <w:t>浙江海事局</w:t>
      </w: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30"/>
          <w:szCs w:val="30"/>
        </w:rPr>
      </w:pPr>
      <w:r>
        <w:rPr>
          <w:rFonts w:hint="eastAsia" w:ascii="宋体" w:hAnsi="宋体" w:cs="Arial"/>
          <w:b/>
          <w:bCs/>
          <w:sz w:val="30"/>
          <w:szCs w:val="30"/>
        </w:rPr>
        <w:t>20</w:t>
      </w:r>
      <w:r>
        <w:rPr>
          <w:rFonts w:hint="eastAsia" w:ascii="宋体" w:hAnsi="宋体" w:cs="Arial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宋体" w:hAnsi="宋体" w:cs="Arial"/>
          <w:b/>
          <w:bCs/>
          <w:sz w:val="30"/>
          <w:szCs w:val="30"/>
        </w:rPr>
        <w:t>年1月1日</w:t>
      </w: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36"/>
          <w:szCs w:val="24"/>
        </w:rPr>
      </w:pPr>
      <w:r>
        <w:rPr>
          <w:rFonts w:ascii="宋体" w:hAnsi="宋体" w:cs="Arial"/>
          <w:b/>
          <w:bCs/>
          <w:sz w:val="36"/>
          <w:szCs w:val="24"/>
        </w:rPr>
        <w:br w:type="page"/>
      </w:r>
      <w:r>
        <w:rPr>
          <w:rFonts w:hint="eastAsia" w:ascii="宋体" w:hAnsi="宋体" w:cs="Arial"/>
          <w:b/>
          <w:bCs/>
          <w:sz w:val="36"/>
          <w:szCs w:val="24"/>
        </w:rPr>
        <w:t>浙江海事局2019年度及第四季度辖区</w:t>
      </w:r>
    </w:p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36"/>
          <w:szCs w:val="24"/>
        </w:rPr>
      </w:pPr>
      <w:r>
        <w:rPr>
          <w:rFonts w:hint="eastAsia" w:ascii="宋体" w:hAnsi="宋体" w:cs="Arial"/>
          <w:b/>
          <w:bCs/>
          <w:sz w:val="36"/>
          <w:szCs w:val="24"/>
        </w:rPr>
        <w:t>水上安全形势分析报告</w:t>
      </w:r>
    </w:p>
    <w:p>
      <w:pPr>
        <w:jc w:val="left"/>
        <w:rPr>
          <w:rFonts w:ascii="宋体" w:hAnsi="宋体"/>
          <w:b/>
          <w:bCs/>
          <w:sz w:val="30"/>
          <w:szCs w:val="28"/>
        </w:rPr>
      </w:pPr>
    </w:p>
    <w:p>
      <w:pPr>
        <w:ind w:firstLine="630" w:firstLineChars="196"/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一、辖区事故概况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2019年辖区共发生一般等级及以上水上交通事故23件，死亡失踪45人（商船死亡失踪30人、渔船死亡失踪14人、三无农用船死亡失踪1人），沉船17艘，直接经济损失5556.35万元，同比</w:t>
      </w:r>
      <w:r>
        <w:rPr>
          <w:rFonts w:hint="eastAsia" w:ascii="仿宋_GB2312" w:hAnsi="宋体" w:eastAsia="仿宋_GB2312"/>
          <w:sz w:val="32"/>
          <w:szCs w:val="32"/>
        </w:rPr>
        <w:t>事故件</w:t>
      </w:r>
      <w:r>
        <w:rPr>
          <w:rFonts w:hint="eastAsia" w:ascii="仿宋_GB2312" w:hAnsi="Times New Roman" w:eastAsia="仿宋_GB2312"/>
          <w:sz w:val="32"/>
          <w:szCs w:val="32"/>
        </w:rPr>
        <w:t>数下降34.3%、死亡失踪人数下降11.8%、沉船艘数下降26.1%、直接经济损失下降33.1%。其中，一般等级事故16件、同比减少13件、下降44.8%；较大等级事故7件、同比增加1件、上升16.7%；今年与去年辖区均未发生重大等级事故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其中：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（一）运输船事故18.5件，死亡失踪30人，沉船13艘，直接经济损失4746.35万元，同比分别为事故件数下降31.5%、死亡失踪人数上升7.1%、沉船艘数下降27.8%、直接经济损失下降36.5%。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（二）非运输船舶一般等级及以上事故4.5件，死亡失踪15人，沉船4艘，直接经济损失810万元，同比分别为事故件数下降43.8%、死亡失踪人数下降40%、沉船艘数下降20%、直接经济损失下降2.9%。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（三）砂石运输船舶发生一般等级及以上事故7.5件，死亡失踪18人，沉船7艘，直接经济损失1610.35万元，四项指标同比分别下降11.8%、上升100%、下降30%和下降36.0%。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四）发生涉渔一般等级及以上碰撞事故4件（涉及8起商渔船碰撞事故，其中较大等级事故4起、一般等级事故4起），死亡失踪14人，沉船4艘，直接经济损失790万元，四项指标同比分别下降42.9%、下降36.4%、下降20%和下降1.7%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五）非五星红旗船舶发生一般等级及以上事故6件，死亡失踪9人、船舶沉没4艘、直接经济损失1915万元，同比事故件数持平，死亡失踪人数减少1人、下降10%，沉船增加3艘、上升300%，直接经济损失增加1052万元、上升121.9%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六）“三无”船舶发生一般等级及以上事故1.5件（涉及“三无”运输船、渔船及农用船各1艘），死亡失踪4人（运输船2人、渔船5人）、船舶沉没2艘（运输船、渔船各1艘），三项指标同比分别下降40%、下降42.9%、持平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（七）内河船舶在沿海水域发生一般等级事故3.5件（涉及内河船舶6艘），死亡失踪3人，沉船3艘、直接经济损失1200万元，同比事故件数上升16.7%、死亡失踪增加3人、沉船艘数下降25%、直接经济损失下降33.5%。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（八）2019年辖区共发生水上交通小事故87件，同比减少5件、下降5.4%。 </w:t>
      </w:r>
    </w:p>
    <w:p>
      <w:pPr>
        <w:spacing w:line="360" w:lineRule="auto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二、2019年度辖区等级以上事故统计分析</w:t>
      </w:r>
    </w:p>
    <w:p>
      <w:pPr>
        <w:spacing w:line="360" w:lineRule="auto"/>
        <w:ind w:firstLine="630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 xml:space="preserve">（一）一般等级及以上事故四项指标同比“全面下降”。 </w:t>
      </w:r>
      <w:r>
        <w:rPr>
          <w:rFonts w:hint="eastAsia" w:ascii="仿宋_GB2312" w:hAnsi="宋体" w:eastAsia="仿宋_GB2312"/>
          <w:sz w:val="32"/>
          <w:szCs w:val="32"/>
        </w:rPr>
        <w:t>分别为事故件</w:t>
      </w:r>
      <w:r>
        <w:rPr>
          <w:rFonts w:hint="eastAsia" w:ascii="仿宋_GB2312" w:hAnsi="Times New Roman" w:eastAsia="仿宋_GB2312"/>
          <w:sz w:val="32"/>
          <w:szCs w:val="32"/>
        </w:rPr>
        <w:t>数下降34.3%、死亡失踪人数下降11.8%、沉船艘数下降26.1%、直接经济损失下降33.1%。</w:t>
      </w:r>
      <w:r>
        <w:rPr>
          <w:rFonts w:hint="eastAsia" w:ascii="仿宋_GB2312" w:hAnsi="宋体" w:eastAsia="仿宋_GB2312"/>
          <w:sz w:val="32"/>
          <w:szCs w:val="32"/>
        </w:rPr>
        <w:t>（详见表一、图一）</w:t>
      </w:r>
    </w:p>
    <w:p>
      <w:pPr>
        <w:spacing w:line="360" w:lineRule="auto"/>
        <w:ind w:firstLine="472" w:firstLineChars="196"/>
        <w:jc w:val="center"/>
        <w:rPr>
          <w:rFonts w:ascii="仿宋_GB2312" w:hAnsi="宋体" w:eastAsia="仿宋_GB2312" w:cs="Arial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表一：</w:t>
      </w:r>
      <w:r>
        <w:rPr>
          <w:rFonts w:hint="eastAsia" w:ascii="仿宋_GB2312" w:hAnsi="宋体" w:eastAsia="仿宋_GB2312" w:cs="Arial"/>
          <w:b/>
          <w:sz w:val="24"/>
          <w:szCs w:val="24"/>
        </w:rPr>
        <w:t>一般等级及以上事故四项指标统计表</w:t>
      </w:r>
    </w:p>
    <w:tbl>
      <w:tblPr>
        <w:tblStyle w:val="10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shd w:val="clear" w:color="auto" w:fill="CC99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984"/>
        <w:gridCol w:w="1193"/>
        <w:gridCol w:w="1193"/>
        <w:gridCol w:w="1193"/>
        <w:gridCol w:w="192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 w:color="auto" w:fill="CC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066" w:type="dxa"/>
            <w:tcBorders>
              <w:top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统计期</w:t>
            </w:r>
          </w:p>
        </w:tc>
        <w:tc>
          <w:tcPr>
            <w:tcW w:w="119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事故件数</w:t>
            </w:r>
          </w:p>
        </w:tc>
        <w:tc>
          <w:tcPr>
            <w:tcW w:w="119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死亡失踪</w:t>
            </w:r>
          </w:p>
        </w:tc>
        <w:tc>
          <w:tcPr>
            <w:tcW w:w="119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沉船艘数</w:t>
            </w:r>
          </w:p>
        </w:tc>
        <w:tc>
          <w:tcPr>
            <w:tcW w:w="192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</w:tcBorders>
            <w:shd w:val="clear" w:color="auto" w:fill="CC99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经济损失(万元)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  <w:jc w:val="center"/>
        </w:trPr>
        <w:tc>
          <w:tcPr>
            <w:tcW w:w="1066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一般等级事故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2019年度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23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45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17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5556.35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06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2018年度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35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53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23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8304.65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066" w:type="dxa"/>
            <w:vMerge w:val="continue"/>
            <w:tcBorders>
              <w:top w:val="single" w:color="auto" w:sz="6" w:space="0"/>
              <w:bottom w:val="double" w:color="auto" w:sz="4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同  比（％）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Cs w:val="21"/>
              </w:rPr>
              <w:t>-34.3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Cs w:val="21"/>
              </w:rPr>
              <w:t>-11.8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Cs w:val="21"/>
              </w:rPr>
              <w:t>-26.1</w:t>
            </w:r>
          </w:p>
        </w:tc>
        <w:tc>
          <w:tcPr>
            <w:tcW w:w="1924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Cs w:val="21"/>
              </w:rPr>
              <w:t>-33.1</w:t>
            </w:r>
          </w:p>
        </w:tc>
      </w:tr>
    </w:tbl>
    <w:p>
      <w:pPr>
        <w:snapToGrid w:val="0"/>
        <w:rPr>
          <w:rFonts w:ascii="宋体" w:hAnsi="宋体"/>
          <w:sz w:val="18"/>
        </w:rPr>
      </w:pPr>
    </w:p>
    <w:p>
      <w:pPr>
        <w:snapToGrid w:val="0"/>
        <w:spacing w:line="360" w:lineRule="auto"/>
        <w:jc w:val="center"/>
        <w:rPr>
          <w:rFonts w:ascii="宋体" w:hAnsi="宋体"/>
          <w:sz w:val="28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图一：一般等级及以上事故四项指标对比图</w:t>
      </w:r>
      <w:r>
        <w:rPr>
          <w:rFonts w:ascii="宋体" w:hAnsi="宋体"/>
          <w:sz w:val="28"/>
        </w:rPr>
        <w:drawing>
          <wp:inline distT="0" distB="0" distL="0" distR="0">
            <wp:extent cx="5391150" cy="2546350"/>
            <wp:effectExtent l="0" t="0" r="0" b="0"/>
            <wp:docPr id="2" name="对象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hint="eastAsia" w:ascii="宋体" w:hAnsi="宋体"/>
          <w:sz w:val="28"/>
        </w:rPr>
        <w:t xml:space="preserve">  </w:t>
      </w:r>
    </w:p>
    <w:p>
      <w:pPr>
        <w:snapToGrid w:val="0"/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sz w:val="28"/>
        </w:rPr>
        <w:t xml:space="preserve">    </w:t>
      </w:r>
      <w:r>
        <w:rPr>
          <w:rFonts w:hint="eastAsia" w:ascii="仿宋_GB2312" w:hAnsi="宋体" w:eastAsia="仿宋_GB2312" w:cs="Arial"/>
          <w:b/>
          <w:sz w:val="32"/>
          <w:szCs w:val="32"/>
        </w:rPr>
        <w:t>（二）运输船舶一般等级及以上事故四项指标同比“三降一升”。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分别为</w:t>
      </w:r>
      <w:r>
        <w:rPr>
          <w:rFonts w:hint="eastAsia" w:ascii="仿宋_GB2312" w:hAnsi="Times New Roman" w:eastAsia="仿宋_GB2312"/>
          <w:sz w:val="32"/>
          <w:szCs w:val="32"/>
        </w:rPr>
        <w:t>事故件数</w:t>
      </w:r>
      <w:r>
        <w:rPr>
          <w:rFonts w:hint="eastAsia" w:ascii="仿宋_GB2312" w:eastAsia="仿宋_GB2312"/>
          <w:sz w:val="32"/>
          <w:szCs w:val="32"/>
        </w:rPr>
        <w:t>下降31.5%、</w:t>
      </w:r>
      <w:r>
        <w:rPr>
          <w:rFonts w:hint="eastAsia" w:ascii="仿宋_GB2312" w:hAnsi="Times New Roman" w:eastAsia="仿宋_GB2312"/>
          <w:sz w:val="32"/>
          <w:szCs w:val="32"/>
        </w:rPr>
        <w:t>死亡失踪人数上升</w:t>
      </w:r>
      <w:r>
        <w:rPr>
          <w:rFonts w:hint="eastAsia" w:ascii="仿宋_GB2312" w:eastAsia="仿宋_GB2312"/>
          <w:sz w:val="32"/>
          <w:szCs w:val="32"/>
        </w:rPr>
        <w:t>7.1%、</w:t>
      </w:r>
      <w:r>
        <w:rPr>
          <w:rFonts w:hint="eastAsia" w:ascii="仿宋_GB2312" w:hAnsi="Times New Roman" w:eastAsia="仿宋_GB2312"/>
          <w:sz w:val="32"/>
          <w:szCs w:val="32"/>
        </w:rPr>
        <w:t>沉船艘数下降27.8</w:t>
      </w:r>
      <w:r>
        <w:rPr>
          <w:rFonts w:hint="eastAsia" w:ascii="仿宋_GB2312" w:eastAsia="仿宋_GB2312"/>
          <w:sz w:val="32"/>
          <w:szCs w:val="32"/>
        </w:rPr>
        <w:t>%、</w:t>
      </w:r>
      <w:r>
        <w:rPr>
          <w:rFonts w:hint="eastAsia" w:ascii="仿宋_GB2312" w:hAnsi="Times New Roman" w:eastAsia="仿宋_GB2312"/>
          <w:sz w:val="32"/>
          <w:szCs w:val="32"/>
        </w:rPr>
        <w:t>直接经济损失下降36.5</w:t>
      </w:r>
      <w:r>
        <w:rPr>
          <w:rFonts w:hint="eastAsia" w:ascii="仿宋_GB2312" w:eastAsia="仿宋_GB2312"/>
          <w:sz w:val="32"/>
          <w:szCs w:val="32"/>
        </w:rPr>
        <w:t>%。</w:t>
      </w:r>
      <w:r>
        <w:rPr>
          <w:rFonts w:hint="eastAsia" w:ascii="仿宋_GB2312" w:hAnsi="宋体" w:eastAsia="仿宋_GB2312"/>
          <w:sz w:val="32"/>
          <w:szCs w:val="32"/>
        </w:rPr>
        <w:t>（详见表二、图二）</w:t>
      </w:r>
    </w:p>
    <w:p>
      <w:pPr>
        <w:widowControl/>
        <w:spacing w:before="30" w:line="420" w:lineRule="atLeast"/>
        <w:ind w:left="1" w:firstLine="540"/>
        <w:jc w:val="center"/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24"/>
          <w:szCs w:val="24"/>
        </w:rPr>
        <w:t>表二：运输船舶</w:t>
      </w:r>
      <w:r>
        <w:rPr>
          <w:rFonts w:hint="eastAsia" w:ascii="仿宋_GB2312" w:hAnsi="宋体" w:eastAsia="仿宋_GB2312" w:cs="Arial"/>
          <w:b/>
          <w:sz w:val="24"/>
          <w:szCs w:val="24"/>
        </w:rPr>
        <w:t>一般等级及以上事故四项指标统计表</w:t>
      </w:r>
    </w:p>
    <w:tbl>
      <w:tblPr>
        <w:tblStyle w:val="10"/>
        <w:tblW w:w="0" w:type="auto"/>
        <w:tblInd w:w="25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shd w:val="clear" w:color="auto" w:fill="DAEEF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4"/>
        <w:gridCol w:w="1276"/>
        <w:gridCol w:w="1417"/>
        <w:gridCol w:w="1418"/>
        <w:gridCol w:w="198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DAEE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double" w:color="auto" w:sz="4" w:space="0"/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Arial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uble" w:color="auto" w:sz="4" w:space="0"/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统计期</w:t>
            </w:r>
          </w:p>
        </w:tc>
        <w:tc>
          <w:tcPr>
            <w:tcW w:w="1276" w:type="dxa"/>
            <w:tcBorders>
              <w:top w:val="double" w:color="auto" w:sz="4" w:space="0"/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事故件数</w:t>
            </w:r>
          </w:p>
        </w:tc>
        <w:tc>
          <w:tcPr>
            <w:tcW w:w="1417" w:type="dxa"/>
            <w:tcBorders>
              <w:top w:val="double" w:color="auto" w:sz="4" w:space="0"/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死亡失踪</w:t>
            </w:r>
          </w:p>
        </w:tc>
        <w:tc>
          <w:tcPr>
            <w:tcW w:w="1418" w:type="dxa"/>
            <w:tcBorders>
              <w:top w:val="double" w:color="auto" w:sz="4" w:space="0"/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沉船艘数</w:t>
            </w:r>
          </w:p>
        </w:tc>
        <w:tc>
          <w:tcPr>
            <w:tcW w:w="1984" w:type="dxa"/>
            <w:tcBorders>
              <w:top w:val="double" w:color="auto" w:sz="4" w:space="0"/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经济损失(万元)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restart"/>
            <w:shd w:val="clear" w:color="auto" w:fill="DAEEF3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运输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船舶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事故</w:t>
            </w:r>
          </w:p>
        </w:tc>
        <w:tc>
          <w:tcPr>
            <w:tcW w:w="1984" w:type="dxa"/>
            <w:tcBorders>
              <w:top w:val="double" w:color="auto" w:sz="4" w:space="0"/>
            </w:tcBorders>
            <w:shd w:val="clear" w:color="auto" w:fill="DAEEF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2019年度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18.5</w:t>
            </w:r>
          </w:p>
        </w:tc>
        <w:tc>
          <w:tcPr>
            <w:tcW w:w="1417" w:type="dxa"/>
            <w:tcBorders>
              <w:top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418" w:type="dxa"/>
            <w:tcBorders>
              <w:top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1984" w:type="dxa"/>
            <w:tcBorders>
              <w:top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4746.35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continue"/>
            <w:shd w:val="clear" w:color="auto" w:fill="DAEEF3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Arial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AEEF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2018年度</w:t>
            </w:r>
          </w:p>
        </w:tc>
        <w:tc>
          <w:tcPr>
            <w:tcW w:w="1276" w:type="dxa"/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</w:t>
            </w:r>
          </w:p>
        </w:tc>
        <w:tc>
          <w:tcPr>
            <w:tcW w:w="1417" w:type="dxa"/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</w:t>
            </w:r>
          </w:p>
        </w:tc>
        <w:tc>
          <w:tcPr>
            <w:tcW w:w="1418" w:type="dxa"/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1984" w:type="dxa"/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7470.65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continue"/>
            <w:tcBorders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Arial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同  比（％）</w:t>
            </w:r>
          </w:p>
        </w:tc>
        <w:tc>
          <w:tcPr>
            <w:tcW w:w="1276" w:type="dxa"/>
            <w:tcBorders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-31.5</w:t>
            </w:r>
          </w:p>
        </w:tc>
        <w:tc>
          <w:tcPr>
            <w:tcW w:w="1417" w:type="dxa"/>
            <w:tcBorders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+7.1</w:t>
            </w:r>
          </w:p>
        </w:tc>
        <w:tc>
          <w:tcPr>
            <w:tcW w:w="1418" w:type="dxa"/>
            <w:tcBorders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-27.8</w:t>
            </w:r>
          </w:p>
        </w:tc>
        <w:tc>
          <w:tcPr>
            <w:tcW w:w="1984" w:type="dxa"/>
            <w:tcBorders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-36.5</w:t>
            </w:r>
          </w:p>
        </w:tc>
      </w:tr>
    </w:tbl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图二：运输船舶一般等级及以上事故四项指标对比图</w:t>
      </w:r>
    </w:p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ascii="宋体" w:hAnsi="宋体"/>
          <w:sz w:val="28"/>
        </w:rPr>
        <w:drawing>
          <wp:inline distT="0" distB="0" distL="0" distR="0">
            <wp:extent cx="5822950" cy="2247900"/>
            <wp:effectExtent l="19050" t="0" r="6350" b="0"/>
            <wp:docPr id="3" name="对象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hint="eastAsia" w:ascii="宋体" w:hAnsi="宋体"/>
          <w:sz w:val="28"/>
        </w:rPr>
        <w:t xml:space="preserve">    </w:t>
      </w:r>
      <w:r>
        <w:rPr>
          <w:rFonts w:hint="eastAsia" w:ascii="仿宋_GB2312" w:hAnsi="宋体" w:eastAsia="仿宋_GB2312"/>
          <w:b/>
          <w:sz w:val="32"/>
          <w:szCs w:val="32"/>
        </w:rPr>
        <w:t>（三）</w:t>
      </w:r>
      <w:r>
        <w:rPr>
          <w:rFonts w:hint="eastAsia" w:ascii="仿宋_GB2312" w:hAnsi="Times New Roman" w:eastAsia="仿宋_GB2312"/>
          <w:sz w:val="32"/>
          <w:szCs w:val="32"/>
        </w:rPr>
        <w:t>非运输船舶一般等级及以上事故</w:t>
      </w:r>
      <w:r>
        <w:rPr>
          <w:rFonts w:hint="eastAsia" w:ascii="仿宋_GB2312" w:eastAsia="仿宋_GB2312"/>
          <w:sz w:val="32"/>
          <w:szCs w:val="32"/>
        </w:rPr>
        <w:t>4.5件，死亡失踪15人，沉船4艘，直接经济损失810万元，四项指标同比</w:t>
      </w:r>
      <w:r>
        <w:rPr>
          <w:rFonts w:hint="eastAsia" w:ascii="仿宋_GB2312" w:eastAsia="仿宋_GB2312"/>
          <w:b/>
          <w:sz w:val="32"/>
          <w:szCs w:val="32"/>
        </w:rPr>
        <w:t>“全面下降”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分别为事故件数下降43.8%、死亡失踪人数下降40%、沉船艘数下降20%、直接经济损失下降2.9%。</w:t>
      </w:r>
      <w:r>
        <w:rPr>
          <w:rFonts w:hint="eastAsia" w:ascii="仿宋_GB2312" w:hAnsi="宋体" w:eastAsia="仿宋_GB2312"/>
          <w:sz w:val="32"/>
          <w:szCs w:val="32"/>
        </w:rPr>
        <w:t>（详见表三）</w:t>
      </w:r>
    </w:p>
    <w:p>
      <w:pPr>
        <w:widowControl/>
        <w:spacing w:before="30" w:line="420" w:lineRule="atLeast"/>
        <w:ind w:left="1" w:firstLine="54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24"/>
          <w:szCs w:val="24"/>
        </w:rPr>
        <w:t>表三：非运输船舶</w:t>
      </w:r>
      <w:r>
        <w:rPr>
          <w:rFonts w:hint="eastAsia" w:ascii="仿宋_GB2312" w:hAnsi="宋体" w:eastAsia="仿宋_GB2312" w:cs="Arial"/>
          <w:b/>
          <w:sz w:val="24"/>
          <w:szCs w:val="24"/>
        </w:rPr>
        <w:t>一般等级及以上事故四项指标统计表</w:t>
      </w:r>
    </w:p>
    <w:tbl>
      <w:tblPr>
        <w:tblStyle w:val="10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single" w:color="auto" w:sz="6" w:space="0"/>
        </w:tblBorders>
        <w:shd w:val="clear" w:color="auto" w:fill="D6E3B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832"/>
        <w:gridCol w:w="1318"/>
        <w:gridCol w:w="1179"/>
        <w:gridCol w:w="1366"/>
        <w:gridCol w:w="2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6" w:space="0"/>
          </w:tblBorders>
          <w:shd w:val="clear" w:color="auto" w:fill="D6E3B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49" w:type="dxa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统计期</w:t>
            </w:r>
          </w:p>
        </w:tc>
        <w:tc>
          <w:tcPr>
            <w:tcW w:w="1318" w:type="dxa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事故件数</w:t>
            </w:r>
          </w:p>
        </w:tc>
        <w:tc>
          <w:tcPr>
            <w:tcW w:w="1179" w:type="dxa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死亡失踪</w:t>
            </w:r>
          </w:p>
        </w:tc>
        <w:tc>
          <w:tcPr>
            <w:tcW w:w="1366" w:type="dxa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沉船艘数</w:t>
            </w:r>
          </w:p>
        </w:tc>
        <w:tc>
          <w:tcPr>
            <w:tcW w:w="2004" w:type="dxa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经济损失(万元)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49" w:type="dxa"/>
            <w:vMerge w:val="restart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非运输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船事故</w:t>
            </w:r>
          </w:p>
        </w:tc>
        <w:tc>
          <w:tcPr>
            <w:tcW w:w="1832" w:type="dxa"/>
            <w:shd w:val="clear" w:color="auto" w:fill="D6E3BC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2019年度</w:t>
            </w:r>
          </w:p>
        </w:tc>
        <w:tc>
          <w:tcPr>
            <w:tcW w:w="1318" w:type="dxa"/>
            <w:shd w:val="clear" w:color="auto" w:fill="D6E3BC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4.5</w:t>
            </w:r>
          </w:p>
        </w:tc>
        <w:tc>
          <w:tcPr>
            <w:tcW w:w="1179" w:type="dxa"/>
            <w:shd w:val="clear" w:color="auto" w:fill="D6E3BC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15</w:t>
            </w:r>
          </w:p>
        </w:tc>
        <w:tc>
          <w:tcPr>
            <w:tcW w:w="1366" w:type="dxa"/>
            <w:shd w:val="clear" w:color="auto" w:fill="D6E3BC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2004" w:type="dxa"/>
            <w:shd w:val="clear" w:color="auto" w:fill="D6E3BC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810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49" w:type="dxa"/>
            <w:vMerge w:val="continue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6E3BC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2018年度</w:t>
            </w:r>
          </w:p>
        </w:tc>
        <w:tc>
          <w:tcPr>
            <w:tcW w:w="1318" w:type="dxa"/>
            <w:shd w:val="clear" w:color="auto" w:fill="D6E3BC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1179" w:type="dxa"/>
            <w:shd w:val="clear" w:color="auto" w:fill="D6E3BC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25</w:t>
            </w:r>
          </w:p>
        </w:tc>
        <w:tc>
          <w:tcPr>
            <w:tcW w:w="1366" w:type="dxa"/>
            <w:shd w:val="clear" w:color="auto" w:fill="D6E3BC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2004" w:type="dxa"/>
            <w:shd w:val="clear" w:color="auto" w:fill="D6E3BC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 w:eastAsiaTheme="minorEastAsia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Cs w:val="21"/>
              </w:rPr>
              <w:t>834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49" w:type="dxa"/>
            <w:vMerge w:val="continue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6E3BC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同  比（％）</w:t>
            </w:r>
          </w:p>
        </w:tc>
        <w:tc>
          <w:tcPr>
            <w:tcW w:w="1318" w:type="dxa"/>
            <w:shd w:val="clear" w:color="auto" w:fill="D6E3BC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Cs w:val="21"/>
              </w:rPr>
              <w:t>-43.8</w:t>
            </w:r>
          </w:p>
        </w:tc>
        <w:tc>
          <w:tcPr>
            <w:tcW w:w="1179" w:type="dxa"/>
            <w:shd w:val="clear" w:color="auto" w:fill="D6E3BC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Cs w:val="21"/>
              </w:rPr>
              <w:t>-40</w:t>
            </w:r>
          </w:p>
        </w:tc>
        <w:tc>
          <w:tcPr>
            <w:tcW w:w="1366" w:type="dxa"/>
            <w:shd w:val="clear" w:color="auto" w:fill="D6E3BC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Cs w:val="21"/>
              </w:rPr>
              <w:t>-20</w:t>
            </w:r>
          </w:p>
        </w:tc>
        <w:tc>
          <w:tcPr>
            <w:tcW w:w="2004" w:type="dxa"/>
            <w:shd w:val="clear" w:color="auto" w:fill="D6E3BC"/>
            <w:vAlign w:val="center"/>
          </w:tcPr>
          <w:p>
            <w:pPr>
              <w:spacing w:line="360" w:lineRule="auto"/>
              <w:jc w:val="center"/>
              <w:rPr>
                <w:rFonts w:cs="Arial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Cs w:val="21"/>
              </w:rPr>
              <w:t>-2.9</w:t>
            </w:r>
          </w:p>
        </w:tc>
      </w:tr>
    </w:tbl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（四）</w:t>
      </w:r>
      <w:r>
        <w:rPr>
          <w:rFonts w:hint="eastAsia" w:ascii="仿宋_GB2312" w:eastAsia="仿宋_GB2312"/>
          <w:b/>
          <w:sz w:val="32"/>
          <w:szCs w:val="32"/>
        </w:rPr>
        <w:t>辖区死亡失踪3人及以上的较大、重特大事故统计。</w:t>
      </w:r>
      <w:r>
        <w:rPr>
          <w:rFonts w:hint="eastAsia" w:ascii="仿宋_GB2312" w:eastAsia="仿宋_GB2312"/>
          <w:sz w:val="32"/>
          <w:szCs w:val="32"/>
        </w:rPr>
        <w:t>2019年辖区我局辖区发生死亡失踪3人及以上水上交通事故7件。其中较大等级商渔船碰撞事故4件、商船之间碰撞事故2件、触碰事故1件；死亡失踪34人，其中商船人员死亡失踪24人、渔船人员死亡失踪10人。</w:t>
      </w:r>
    </w:p>
    <w:p>
      <w:pPr>
        <w:spacing w:line="360" w:lineRule="auto"/>
        <w:ind w:firstLine="643" w:firstLineChars="200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（</w:t>
      </w:r>
      <w:r>
        <w:rPr>
          <w:rFonts w:hint="eastAsia" w:ascii="仿宋_GB2312" w:hAnsi="宋体" w:eastAsia="仿宋_GB2312" w:cs="Arial"/>
          <w:b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Arial"/>
          <w:b/>
          <w:sz w:val="32"/>
          <w:szCs w:val="32"/>
        </w:rPr>
        <w:t>）2019年</w:t>
      </w:r>
      <w:r>
        <w:rPr>
          <w:rFonts w:hint="eastAsia" w:ascii="仿宋_GB2312" w:hAnsi="Times New Roman" w:eastAsia="仿宋_GB2312"/>
          <w:b/>
          <w:sz w:val="32"/>
          <w:szCs w:val="32"/>
        </w:rPr>
        <w:t>度</w:t>
      </w:r>
      <w:r>
        <w:rPr>
          <w:rFonts w:hint="eastAsia" w:ascii="仿宋_GB2312" w:hAnsi="宋体" w:eastAsia="仿宋_GB2312" w:cs="Arial"/>
          <w:b/>
          <w:sz w:val="32"/>
          <w:szCs w:val="32"/>
        </w:rPr>
        <w:t>各分支局辖区事故统计。</w:t>
      </w:r>
      <w:r>
        <w:rPr>
          <w:rFonts w:hint="eastAsia" w:ascii="仿宋_GB2312" w:hAnsi="Times New Roman" w:eastAsia="仿宋_GB2312"/>
          <w:sz w:val="32"/>
          <w:szCs w:val="32"/>
        </w:rPr>
        <w:t>（见下表四，图三、四）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1、</w:t>
      </w:r>
      <w:r>
        <w:rPr>
          <w:rFonts w:hint="eastAsia" w:ascii="仿宋_GB2312" w:hAnsi="Times New Roman" w:eastAsia="仿宋_GB2312"/>
          <w:b/>
          <w:sz w:val="32"/>
          <w:szCs w:val="32"/>
        </w:rPr>
        <w:t>宁波局辖区</w:t>
      </w:r>
      <w:r>
        <w:rPr>
          <w:rFonts w:hint="eastAsia" w:ascii="仿宋_GB2312" w:eastAsia="仿宋_GB2312"/>
          <w:sz w:val="32"/>
          <w:szCs w:val="32"/>
        </w:rPr>
        <w:t>发生一般等级及以上事故8件（较大等级事故4件、一般等级事故4件）、死亡失踪19人、沉船7艘、直接经济损失约2231.35万元；</w:t>
      </w:r>
      <w:r>
        <w:rPr>
          <w:rFonts w:hint="eastAsia" w:ascii="仿宋_GB2312" w:hAnsi="宋体" w:eastAsia="仿宋_GB2312"/>
          <w:sz w:val="32"/>
          <w:szCs w:val="32"/>
        </w:rPr>
        <w:t>等级以上事故四项指标同比“全面上升”，分别为事故件数</w:t>
      </w:r>
      <w:r>
        <w:rPr>
          <w:rFonts w:hint="eastAsia" w:ascii="仿宋_GB2312" w:hAnsi="Times New Roman" w:eastAsia="仿宋_GB2312"/>
          <w:sz w:val="32"/>
          <w:szCs w:val="32"/>
        </w:rPr>
        <w:t>同比增加1件、上升14.3%；死亡失踪同比增加5人、上升35.7%；沉船同比增加3艘、上升75%；直接经济损失同比增加523.35万元、上升30.6%。</w:t>
      </w:r>
      <w:r>
        <w:rPr>
          <w:rFonts w:hint="eastAsia" w:ascii="仿宋_GB2312" w:eastAsia="仿宋_GB2312"/>
          <w:sz w:val="32"/>
          <w:szCs w:val="32"/>
        </w:rPr>
        <w:t>事故四项指标分别占到我局辖区年度指标总数的34.8%、42.2%、41.2%和40.2%</w:t>
      </w:r>
      <w:r>
        <w:rPr>
          <w:rFonts w:hint="eastAsia" w:ascii="仿宋_GB2312" w:hAnsi="Times New Roman" w:eastAsia="仿宋_GB2312"/>
          <w:sz w:val="32"/>
          <w:szCs w:val="32"/>
        </w:rPr>
        <w:t>，所占比重比2018年分别增加14.8、15.8、23.8、19.6个百分点。尤其是发生4件较大等级事故、造成16人死亡失踪、船舶沉没4艘、直接经济损失831万元，四项指标分别占较大等级事故的57.1%、47.1%、57.1%和66.9%。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2、</w:t>
      </w:r>
      <w:r>
        <w:rPr>
          <w:rFonts w:hint="eastAsia" w:ascii="仿宋_GB2312" w:hAnsi="Times New Roman" w:eastAsia="仿宋_GB2312"/>
          <w:b/>
          <w:sz w:val="32"/>
          <w:szCs w:val="32"/>
        </w:rPr>
        <w:t>舟山局辖区</w:t>
      </w:r>
      <w:r>
        <w:rPr>
          <w:rFonts w:hint="eastAsia" w:ascii="仿宋_GB2312" w:eastAsia="仿宋_GB2312"/>
          <w:sz w:val="32"/>
          <w:szCs w:val="32"/>
        </w:rPr>
        <w:t>发生一般等级及以上事故10件（较大等级事故2件、一般等级事故8件）、死亡失踪18人、沉船7艘、直接经济损失约2912万元；事故件数</w:t>
      </w:r>
      <w:r>
        <w:rPr>
          <w:rFonts w:hint="eastAsia" w:ascii="仿宋_GB2312" w:hAnsi="Times New Roman" w:eastAsia="仿宋_GB2312"/>
          <w:sz w:val="32"/>
          <w:szCs w:val="32"/>
        </w:rPr>
        <w:t>同比减少3件、下降23.1%；死亡失踪同比增加1人、上升5.9%；沉船同比减少3艘、下降30%；直接经济损失同比减少1003万元、下降25.6%，</w:t>
      </w:r>
      <w:r>
        <w:rPr>
          <w:rFonts w:hint="eastAsia" w:ascii="仿宋_GB2312" w:hAnsi="宋体" w:eastAsia="仿宋_GB2312"/>
          <w:sz w:val="32"/>
          <w:szCs w:val="32"/>
        </w:rPr>
        <w:t>四项指标同比“三降一升”</w:t>
      </w:r>
      <w:r>
        <w:rPr>
          <w:rFonts w:hint="eastAsia" w:ascii="仿宋_GB2312" w:hAnsi="Times New Roman" w:eastAsia="仿宋_GB2312"/>
          <w:sz w:val="32"/>
          <w:szCs w:val="32"/>
        </w:rPr>
        <w:t>，但</w:t>
      </w:r>
      <w:r>
        <w:rPr>
          <w:rFonts w:hint="eastAsia" w:ascii="仿宋_GB2312" w:eastAsia="仿宋_GB2312"/>
          <w:sz w:val="32"/>
          <w:szCs w:val="32"/>
        </w:rPr>
        <w:t>事故四项指标占辖区比重较高，分别占到我局辖区年度指标总数的43.5%、40%、41.2%和52.4%，与2018年相比，除沉船艘数占比略降2.3个百分点，事故量、死亡失踪人数以及直接经济损失占比分别增加6.4、7.9、5.3个百分点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spacing w:line="360" w:lineRule="auto"/>
        <w:ind w:firstLine="633" w:firstLineChars="198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3、</w:t>
      </w:r>
      <w:r>
        <w:rPr>
          <w:rFonts w:hint="eastAsia" w:ascii="仿宋_GB2312" w:hAnsi="Times New Roman" w:eastAsia="仿宋_GB2312"/>
          <w:b/>
          <w:sz w:val="32"/>
          <w:szCs w:val="32"/>
        </w:rPr>
        <w:t>温州局辖区</w:t>
      </w:r>
      <w:r>
        <w:rPr>
          <w:rFonts w:hint="eastAsia" w:ascii="仿宋_GB2312" w:hAnsi="宋体" w:eastAsia="仿宋_GB2312"/>
          <w:sz w:val="32"/>
          <w:szCs w:val="32"/>
        </w:rPr>
        <w:t>一般等级及以上事故四项指标同比“全面下降”，且降幅较大</w:t>
      </w:r>
      <w:r>
        <w:rPr>
          <w:rFonts w:hint="eastAsia" w:ascii="仿宋_GB2312" w:hAnsi="Times New Roman" w:eastAsia="仿宋_GB2312"/>
          <w:sz w:val="32"/>
          <w:szCs w:val="32"/>
        </w:rPr>
        <w:t>，共发生一般等级及以上事故3件（其中一般等级事故2件、较大等级事故1件），同比减少6件、下降66.7%；死亡失踪7人，同比减少9人，下降56.3%；沉船3艘，同比减少2艘、下降40%；直接经济损失103万元，同比减少1327万元、下降92.8%。四项指标</w:t>
      </w:r>
      <w:r>
        <w:rPr>
          <w:rFonts w:hint="eastAsia" w:ascii="仿宋_GB2312" w:eastAsia="仿宋_GB2312"/>
          <w:sz w:val="32"/>
          <w:szCs w:val="32"/>
        </w:rPr>
        <w:t>分别占辖区年度指标总数的13%、15.6%、17.6%和1.9%。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4、</w:t>
      </w:r>
      <w:r>
        <w:rPr>
          <w:rFonts w:hint="eastAsia" w:ascii="仿宋_GB2312" w:hAnsi="Times New Roman" w:eastAsia="仿宋_GB2312"/>
          <w:b/>
          <w:sz w:val="32"/>
          <w:szCs w:val="32"/>
        </w:rPr>
        <w:t>台州局辖区</w:t>
      </w:r>
      <w:r>
        <w:rPr>
          <w:rFonts w:hint="eastAsia" w:ascii="仿宋_GB2312" w:hAnsi="宋体" w:eastAsia="仿宋_GB2312"/>
          <w:sz w:val="32"/>
          <w:szCs w:val="32"/>
        </w:rPr>
        <w:t>一般等级及以上事故四项指标同比“三升一降”</w:t>
      </w:r>
      <w:r>
        <w:rPr>
          <w:rFonts w:hint="eastAsia" w:ascii="仿宋_GB2312" w:hAnsi="Times New Roman" w:eastAsia="仿宋_GB2312"/>
          <w:sz w:val="32"/>
          <w:szCs w:val="32"/>
        </w:rPr>
        <w:t>，共发生一般等级事故2件，同比减少1件、下降33.3%，死亡失踪1人、同比减少5人、下降83.3%；未发生船舶沉没、同比减少2艘；直接经济损失310万元，同比增加39.35万元，上升14.5%。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5、</w:t>
      </w:r>
      <w:r>
        <w:rPr>
          <w:rFonts w:hint="eastAsia" w:ascii="仿宋_GB2312" w:hAnsi="Times New Roman" w:eastAsia="仿宋_GB2312"/>
          <w:b/>
          <w:sz w:val="32"/>
          <w:szCs w:val="32"/>
        </w:rPr>
        <w:t>嘉兴局辖区</w:t>
      </w:r>
      <w:r>
        <w:rPr>
          <w:rFonts w:hint="eastAsia" w:ascii="仿宋_GB2312" w:hAnsi="Times New Roman" w:eastAsia="仿宋_GB2312"/>
          <w:sz w:val="32"/>
          <w:szCs w:val="32"/>
        </w:rPr>
        <w:t>未发生等级以上事故，同比事故件数减少2件，沉船减少1艘，直接经济损失减少866万元，今年与去年均未造成人员死亡失踪。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Times New Roman" w:eastAsia="仿宋_GB2312"/>
          <w:sz w:val="32"/>
          <w:szCs w:val="32"/>
        </w:rPr>
        <w:t>6、</w:t>
      </w:r>
      <w:r>
        <w:rPr>
          <w:rFonts w:hint="eastAsia" w:ascii="仿宋_GB2312" w:hAnsi="Times New Roman" w:eastAsia="仿宋_GB2312"/>
          <w:b/>
          <w:sz w:val="32"/>
          <w:szCs w:val="32"/>
        </w:rPr>
        <w:t>杭州局辖区</w:t>
      </w:r>
      <w:r>
        <w:rPr>
          <w:rFonts w:hint="eastAsia" w:ascii="仿宋_GB2312" w:hAnsi="Times New Roman" w:eastAsia="仿宋_GB2312"/>
          <w:sz w:val="32"/>
          <w:szCs w:val="32"/>
        </w:rPr>
        <w:t>未发生等级以上事故，同比事故件数减少1件，沉船减少1艘，直接经济损失减少115万元，今年与去年均未造成人员死亡失踪。</w:t>
      </w:r>
    </w:p>
    <w:p>
      <w:pPr>
        <w:spacing w:line="600" w:lineRule="exact"/>
        <w:ind w:firstLine="482" w:firstLineChars="200"/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表四：各分支局辖区一般等级及以上事故分布统计</w:t>
      </w:r>
    </w:p>
    <w:tbl>
      <w:tblPr>
        <w:tblStyle w:val="10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75"/>
        <w:gridCol w:w="660"/>
        <w:gridCol w:w="716"/>
        <w:gridCol w:w="768"/>
        <w:gridCol w:w="852"/>
        <w:gridCol w:w="723"/>
        <w:gridCol w:w="885"/>
        <w:gridCol w:w="621"/>
        <w:gridCol w:w="851"/>
        <w:gridCol w:w="921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vMerge w:val="restart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重大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事故</w:t>
            </w:r>
          </w:p>
        </w:tc>
        <w:tc>
          <w:tcPr>
            <w:tcW w:w="660" w:type="dxa"/>
            <w:vMerge w:val="restart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较大事故</w:t>
            </w:r>
          </w:p>
        </w:tc>
        <w:tc>
          <w:tcPr>
            <w:tcW w:w="716" w:type="dxa"/>
            <w:vMerge w:val="restart"/>
            <w:shd w:val="clear" w:color="auto" w:fill="FFCC99"/>
            <w:vAlign w:val="center"/>
          </w:tcPr>
          <w:p>
            <w:pPr>
              <w:ind w:left="120" w:leftChars="5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一般等级</w:t>
            </w:r>
          </w:p>
        </w:tc>
        <w:tc>
          <w:tcPr>
            <w:tcW w:w="1620" w:type="dxa"/>
            <w:gridSpan w:val="2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一般等级及以上</w:t>
            </w:r>
          </w:p>
        </w:tc>
        <w:tc>
          <w:tcPr>
            <w:tcW w:w="1608" w:type="dxa"/>
            <w:gridSpan w:val="2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死亡失踪人数</w:t>
            </w:r>
          </w:p>
        </w:tc>
        <w:tc>
          <w:tcPr>
            <w:tcW w:w="1472" w:type="dxa"/>
            <w:gridSpan w:val="2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沉船艘次</w:t>
            </w:r>
          </w:p>
        </w:tc>
        <w:tc>
          <w:tcPr>
            <w:tcW w:w="1930" w:type="dxa"/>
            <w:gridSpan w:val="2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经济损失（万元）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7" w:type="dxa"/>
            <w:vMerge w:val="continue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shd w:val="clear" w:color="auto" w:fill="FFCC99"/>
            <w:vAlign w:val="center"/>
          </w:tcPr>
          <w:p>
            <w:pPr>
              <w:ind w:left="120" w:leftChars="5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总数</w:t>
            </w:r>
          </w:p>
        </w:tc>
        <w:tc>
          <w:tcPr>
            <w:tcW w:w="852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运输船</w:t>
            </w:r>
          </w:p>
        </w:tc>
        <w:tc>
          <w:tcPr>
            <w:tcW w:w="723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总数</w:t>
            </w:r>
          </w:p>
        </w:tc>
        <w:tc>
          <w:tcPr>
            <w:tcW w:w="885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运输船</w:t>
            </w:r>
          </w:p>
        </w:tc>
        <w:tc>
          <w:tcPr>
            <w:tcW w:w="621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总数</w:t>
            </w:r>
          </w:p>
        </w:tc>
        <w:tc>
          <w:tcPr>
            <w:tcW w:w="851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运输船</w:t>
            </w:r>
          </w:p>
        </w:tc>
        <w:tc>
          <w:tcPr>
            <w:tcW w:w="921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总数</w:t>
            </w:r>
          </w:p>
        </w:tc>
        <w:tc>
          <w:tcPr>
            <w:tcW w:w="1009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运输船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87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宁波海事局</w:t>
            </w:r>
          </w:p>
        </w:tc>
        <w:tc>
          <w:tcPr>
            <w:tcW w:w="675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60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4</w:t>
            </w:r>
          </w:p>
        </w:tc>
        <w:tc>
          <w:tcPr>
            <w:tcW w:w="716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4</w:t>
            </w:r>
          </w:p>
        </w:tc>
        <w:tc>
          <w:tcPr>
            <w:tcW w:w="768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8</w:t>
            </w:r>
          </w:p>
        </w:tc>
        <w:tc>
          <w:tcPr>
            <w:tcW w:w="852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6.5</w:t>
            </w:r>
          </w:p>
        </w:tc>
        <w:tc>
          <w:tcPr>
            <w:tcW w:w="723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19</w:t>
            </w:r>
          </w:p>
        </w:tc>
        <w:tc>
          <w:tcPr>
            <w:tcW w:w="885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14</w:t>
            </w:r>
          </w:p>
        </w:tc>
        <w:tc>
          <w:tcPr>
            <w:tcW w:w="621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7</w:t>
            </w:r>
          </w:p>
        </w:tc>
        <w:tc>
          <w:tcPr>
            <w:tcW w:w="851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5</w:t>
            </w:r>
          </w:p>
        </w:tc>
        <w:tc>
          <w:tcPr>
            <w:tcW w:w="921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2231.35</w:t>
            </w:r>
          </w:p>
        </w:tc>
        <w:tc>
          <w:tcPr>
            <w:tcW w:w="1009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1611.35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287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舟山海事局</w:t>
            </w:r>
          </w:p>
        </w:tc>
        <w:tc>
          <w:tcPr>
            <w:tcW w:w="675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60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2</w:t>
            </w:r>
          </w:p>
        </w:tc>
        <w:tc>
          <w:tcPr>
            <w:tcW w:w="716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8</w:t>
            </w:r>
          </w:p>
        </w:tc>
        <w:tc>
          <w:tcPr>
            <w:tcW w:w="768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10</w:t>
            </w:r>
          </w:p>
        </w:tc>
        <w:tc>
          <w:tcPr>
            <w:tcW w:w="852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8</w:t>
            </w:r>
          </w:p>
        </w:tc>
        <w:tc>
          <w:tcPr>
            <w:tcW w:w="723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18</w:t>
            </w:r>
          </w:p>
        </w:tc>
        <w:tc>
          <w:tcPr>
            <w:tcW w:w="885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11</w:t>
            </w:r>
          </w:p>
        </w:tc>
        <w:tc>
          <w:tcPr>
            <w:tcW w:w="621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7</w:t>
            </w:r>
          </w:p>
        </w:tc>
        <w:tc>
          <w:tcPr>
            <w:tcW w:w="851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6</w:t>
            </w:r>
          </w:p>
        </w:tc>
        <w:tc>
          <w:tcPr>
            <w:tcW w:w="921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2912</w:t>
            </w:r>
          </w:p>
        </w:tc>
        <w:tc>
          <w:tcPr>
            <w:tcW w:w="1009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287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温州海事局</w:t>
            </w:r>
          </w:p>
        </w:tc>
        <w:tc>
          <w:tcPr>
            <w:tcW w:w="675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60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</w:t>
            </w:r>
          </w:p>
        </w:tc>
        <w:tc>
          <w:tcPr>
            <w:tcW w:w="716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2</w:t>
            </w:r>
          </w:p>
        </w:tc>
        <w:tc>
          <w:tcPr>
            <w:tcW w:w="768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3</w:t>
            </w:r>
          </w:p>
        </w:tc>
        <w:tc>
          <w:tcPr>
            <w:tcW w:w="852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2.5</w:t>
            </w:r>
          </w:p>
        </w:tc>
        <w:tc>
          <w:tcPr>
            <w:tcW w:w="723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7</w:t>
            </w:r>
          </w:p>
        </w:tc>
        <w:tc>
          <w:tcPr>
            <w:tcW w:w="885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5</w:t>
            </w:r>
          </w:p>
        </w:tc>
        <w:tc>
          <w:tcPr>
            <w:tcW w:w="621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3</w:t>
            </w:r>
          </w:p>
        </w:tc>
        <w:tc>
          <w:tcPr>
            <w:tcW w:w="851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2</w:t>
            </w:r>
          </w:p>
        </w:tc>
        <w:tc>
          <w:tcPr>
            <w:tcW w:w="921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103</w:t>
            </w:r>
          </w:p>
        </w:tc>
        <w:tc>
          <w:tcPr>
            <w:tcW w:w="1009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287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台州海事局</w:t>
            </w:r>
          </w:p>
        </w:tc>
        <w:tc>
          <w:tcPr>
            <w:tcW w:w="675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60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16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2</w:t>
            </w:r>
          </w:p>
        </w:tc>
        <w:tc>
          <w:tcPr>
            <w:tcW w:w="768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2</w:t>
            </w:r>
          </w:p>
        </w:tc>
        <w:tc>
          <w:tcPr>
            <w:tcW w:w="852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1.5</w:t>
            </w:r>
          </w:p>
        </w:tc>
        <w:tc>
          <w:tcPr>
            <w:tcW w:w="723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</w:t>
            </w:r>
          </w:p>
        </w:tc>
        <w:tc>
          <w:tcPr>
            <w:tcW w:w="885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21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51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921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310</w:t>
            </w:r>
          </w:p>
        </w:tc>
        <w:tc>
          <w:tcPr>
            <w:tcW w:w="1009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287" w:type="dxa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嘉兴海事局</w:t>
            </w:r>
          </w:p>
        </w:tc>
        <w:tc>
          <w:tcPr>
            <w:tcW w:w="675" w:type="dxa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60" w:type="dxa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68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21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921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1009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87" w:type="dxa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杭州海事局</w:t>
            </w:r>
          </w:p>
        </w:tc>
        <w:tc>
          <w:tcPr>
            <w:tcW w:w="675" w:type="dxa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60" w:type="dxa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68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21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921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1009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  计</w:t>
            </w:r>
          </w:p>
        </w:tc>
        <w:tc>
          <w:tcPr>
            <w:tcW w:w="675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660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7</w:t>
            </w:r>
          </w:p>
        </w:tc>
        <w:tc>
          <w:tcPr>
            <w:tcW w:w="716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16</w:t>
            </w:r>
          </w:p>
        </w:tc>
        <w:tc>
          <w:tcPr>
            <w:tcW w:w="768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23</w:t>
            </w:r>
          </w:p>
        </w:tc>
        <w:tc>
          <w:tcPr>
            <w:tcW w:w="852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18.5</w:t>
            </w:r>
          </w:p>
        </w:tc>
        <w:tc>
          <w:tcPr>
            <w:tcW w:w="723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45</w:t>
            </w:r>
          </w:p>
        </w:tc>
        <w:tc>
          <w:tcPr>
            <w:tcW w:w="885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30</w:t>
            </w:r>
          </w:p>
        </w:tc>
        <w:tc>
          <w:tcPr>
            <w:tcW w:w="621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17</w:t>
            </w:r>
          </w:p>
        </w:tc>
        <w:tc>
          <w:tcPr>
            <w:tcW w:w="851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13</w:t>
            </w:r>
          </w:p>
        </w:tc>
        <w:tc>
          <w:tcPr>
            <w:tcW w:w="921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5556.35</w:t>
            </w:r>
          </w:p>
        </w:tc>
        <w:tc>
          <w:tcPr>
            <w:tcW w:w="1009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4746.35</w:t>
            </w:r>
          </w:p>
        </w:tc>
      </w:tr>
    </w:tbl>
    <w:p>
      <w:pPr>
        <w:jc w:val="center"/>
        <w:rPr>
          <w:rFonts w:ascii="仿宋_GB2312" w:hAnsi="宋体" w:eastAsia="仿宋_GB2312"/>
          <w:b/>
          <w:sz w:val="24"/>
          <w:szCs w:val="24"/>
        </w:rPr>
      </w:pPr>
    </w:p>
    <w:tbl>
      <w:tblPr>
        <w:tblStyle w:val="10"/>
        <w:tblpPr w:leftFromText="180" w:rightFromText="180" w:vertAnchor="text" w:horzAnchor="page" w:tblpX="1380" w:tblpY="207"/>
        <w:tblOverlap w:val="never"/>
        <w:tblW w:w="968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33"/>
        <w:gridCol w:w="677"/>
        <w:gridCol w:w="560"/>
        <w:gridCol w:w="757"/>
        <w:gridCol w:w="709"/>
        <w:gridCol w:w="709"/>
        <w:gridCol w:w="709"/>
        <w:gridCol w:w="644"/>
        <w:gridCol w:w="882"/>
        <w:gridCol w:w="798"/>
        <w:gridCol w:w="787"/>
        <w:gridCol w:w="93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8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2019年事故四项指标</w:t>
            </w:r>
          </w:p>
        </w:tc>
        <w:tc>
          <w:tcPr>
            <w:tcW w:w="2771" w:type="dxa"/>
            <w:gridSpan w:val="4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占全局比重（%）</w:t>
            </w:r>
          </w:p>
        </w:tc>
        <w:tc>
          <w:tcPr>
            <w:tcW w:w="3399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同比（%）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件数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死亡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</w:t>
            </w:r>
          </w:p>
        </w:tc>
        <w:tc>
          <w:tcPr>
            <w:tcW w:w="757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经济损失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事故件数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失踪死亡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艘数</w:t>
            </w:r>
          </w:p>
        </w:tc>
        <w:tc>
          <w:tcPr>
            <w:tcW w:w="644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损失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件数</w:t>
            </w:r>
          </w:p>
        </w:tc>
        <w:tc>
          <w:tcPr>
            <w:tcW w:w="79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死亡</w:t>
            </w:r>
          </w:p>
        </w:tc>
        <w:tc>
          <w:tcPr>
            <w:tcW w:w="78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沉船艘数</w:t>
            </w:r>
          </w:p>
        </w:tc>
        <w:tc>
          <w:tcPr>
            <w:tcW w:w="93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损失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</w:p>
        </w:tc>
        <w:tc>
          <w:tcPr>
            <w:tcW w:w="757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2231.35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34.8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42.2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41.2</w:t>
            </w:r>
          </w:p>
        </w:tc>
        <w:tc>
          <w:tcPr>
            <w:tcW w:w="644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40.2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+14.3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+35.7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+75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+30.6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舟山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18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</w:p>
        </w:tc>
        <w:tc>
          <w:tcPr>
            <w:tcW w:w="757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2912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43.5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41.2</w:t>
            </w:r>
          </w:p>
        </w:tc>
        <w:tc>
          <w:tcPr>
            <w:tcW w:w="644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52.4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-23.1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+5.9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-30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-25.6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温州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757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103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13.0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15.6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17.6</w:t>
            </w:r>
          </w:p>
        </w:tc>
        <w:tc>
          <w:tcPr>
            <w:tcW w:w="644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1.9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-66.7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-56.3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-40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-92.8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57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310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8.7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2.2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4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5.6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-33.3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-83.3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0:2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+14.5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嘉兴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57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4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0:2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0:1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0:866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杭州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57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4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0:1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0:1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0:115</w:t>
            </w:r>
          </w:p>
        </w:tc>
      </w:tr>
    </w:tbl>
    <w:p>
      <w:pPr>
        <w:jc w:val="center"/>
        <w:rPr>
          <w:rFonts w:ascii="仿宋_GB2312" w:hAnsi="宋体" w:eastAsia="仿宋_GB2312"/>
          <w:b/>
          <w:sz w:val="24"/>
          <w:szCs w:val="24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196850</wp:posOffset>
            </wp:positionV>
            <wp:extent cx="5344160" cy="2630170"/>
            <wp:effectExtent l="0" t="0" r="0" b="0"/>
            <wp:wrapNone/>
            <wp:docPr id="15" name="对象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hint="eastAsia" w:ascii="仿宋_GB2312" w:hAnsi="宋体" w:eastAsia="仿宋_GB2312"/>
          <w:b/>
          <w:sz w:val="24"/>
          <w:szCs w:val="24"/>
        </w:rPr>
        <w:t>图三：各分支局辖区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一般等级及以上</w:t>
      </w:r>
      <w:r>
        <w:rPr>
          <w:rFonts w:hint="eastAsia" w:ascii="仿宋_GB2312" w:hAnsi="宋体" w:eastAsia="仿宋_GB2312"/>
          <w:b/>
          <w:sz w:val="24"/>
          <w:szCs w:val="24"/>
        </w:rPr>
        <w:t>事故四项指标对比</w:t>
      </w: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图四：2019年度各分支局辖区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一般等级及以上</w:t>
      </w:r>
      <w:r>
        <w:rPr>
          <w:rFonts w:hint="eastAsia" w:ascii="仿宋_GB2312" w:hAnsi="宋体" w:eastAsia="仿宋_GB2312"/>
          <w:b/>
          <w:sz w:val="24"/>
          <w:szCs w:val="24"/>
        </w:rPr>
        <w:t>事故比重</w:t>
      </w:r>
    </w:p>
    <w:p>
      <w:pPr>
        <w:spacing w:line="600" w:lineRule="exact"/>
        <w:ind w:firstLine="411" w:firstLineChars="196"/>
        <w:rPr>
          <w:rFonts w:ascii="仿宋_GB2312" w:hAnsi="宋体" w:eastAsia="仿宋_GB2312" w:cs="Arial"/>
          <w:b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37465</wp:posOffset>
            </wp:positionV>
            <wp:extent cx="4497070" cy="2495550"/>
            <wp:effectExtent l="19050" t="0" r="17780" b="0"/>
            <wp:wrapTight wrapText="bothSides">
              <wp:wrapPolygon>
                <wp:start x="-91" y="0"/>
                <wp:lineTo x="-91" y="21600"/>
                <wp:lineTo x="21685" y="21600"/>
                <wp:lineTo x="21685" y="0"/>
                <wp:lineTo x="-91" y="0"/>
              </wp:wrapPolygon>
            </wp:wrapTight>
            <wp:docPr id="14" name="对象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>
      <w:pPr>
        <w:spacing w:line="600" w:lineRule="exact"/>
        <w:ind w:firstLine="630" w:firstLineChars="196"/>
        <w:rPr>
          <w:rFonts w:ascii="仿宋_GB2312" w:hAnsi="宋体" w:eastAsia="仿宋_GB2312" w:cs="Arial"/>
          <w:b/>
          <w:sz w:val="32"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 w:eastAsia="仿宋_GB2312" w:cs="Arial"/>
          <w:b/>
          <w:sz w:val="32"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 w:eastAsia="仿宋_GB2312" w:cs="Arial"/>
          <w:b/>
          <w:sz w:val="32"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 w:eastAsia="仿宋_GB2312" w:cs="Arial"/>
          <w:b/>
          <w:sz w:val="32"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 w:eastAsia="仿宋_GB2312" w:cs="Arial"/>
          <w:b/>
          <w:sz w:val="32"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 w:eastAsia="仿宋_GB2312" w:cs="Arial"/>
          <w:b/>
          <w:sz w:val="32"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（七）一般等级及以上事故等级与种类统计</w:t>
      </w:r>
      <w:r>
        <w:rPr>
          <w:rFonts w:hint="eastAsia" w:ascii="仿宋_GB2312" w:hAnsi="宋体" w:eastAsia="仿宋_GB2312"/>
          <w:b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2019年辖区共发生一般等级及以上事故23件，其中较大等级事故7件、一般等级事故16件，共涉及7个事故种类。其中，碰撞事故13件、同比下降38.1%，占事故总数的56.5%、增加3.5个百分点；造成死亡失踪36人、同比上升38.5%，占死亡失踪总人数的80%、减少2.1个百分点；沉船10艘、同比下降28.6%，占沉船总艘数的58.8%、下降2个百分点。自沉事故5件、同比下降37.5%，占事故总数的21.7%、减少1.2个百分点，造成死亡失踪4人、同比下降83.3%，占死亡失踪总人数的8.9%、减少36个百分点；沉船5艘、同比上升400%，占沉船总数29.4%、增加25个百分点。触碰、其他造成人员死亡类事故各1件、同比下降50%，触礁、火灾爆炸事故各1件，同比持平；风灾事故1件、同比增加1件。（详见表五、图五）</w:t>
      </w:r>
    </w:p>
    <w:p>
      <w:pPr>
        <w:ind w:firstLine="472" w:firstLineChars="196"/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表五：一般等级及以上事故种类分布统计</w:t>
      </w:r>
    </w:p>
    <w:tbl>
      <w:tblPr>
        <w:tblStyle w:val="10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5DFE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748"/>
        <w:gridCol w:w="1748"/>
        <w:gridCol w:w="174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DFEC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48" w:type="dxa"/>
            <w:shd w:val="clear" w:color="auto" w:fill="76923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76923C"/>
            <w:vAlign w:val="center"/>
          </w:tcPr>
          <w:p>
            <w:pPr>
              <w:ind w:firstLine="118" w:firstLineChars="49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事故件数</w:t>
            </w:r>
          </w:p>
        </w:tc>
        <w:tc>
          <w:tcPr>
            <w:tcW w:w="1748" w:type="dxa"/>
            <w:shd w:val="clear" w:color="auto" w:fill="76923C"/>
            <w:vAlign w:val="center"/>
          </w:tcPr>
          <w:p>
            <w:pPr>
              <w:ind w:firstLine="118" w:firstLineChars="49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死亡人数</w:t>
            </w:r>
          </w:p>
        </w:tc>
        <w:tc>
          <w:tcPr>
            <w:tcW w:w="1748" w:type="dxa"/>
            <w:shd w:val="clear" w:color="auto" w:fill="76923C"/>
            <w:vAlign w:val="center"/>
          </w:tcPr>
          <w:p>
            <w:pPr>
              <w:ind w:firstLine="236" w:firstLineChars="98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沉船艘数</w:t>
            </w:r>
          </w:p>
        </w:tc>
        <w:tc>
          <w:tcPr>
            <w:tcW w:w="1750" w:type="dxa"/>
            <w:shd w:val="clear" w:color="auto" w:fill="76923C"/>
            <w:vAlign w:val="center"/>
          </w:tcPr>
          <w:p>
            <w:pPr>
              <w:ind w:left="69" w:leftChars="33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直接经济损失（万元）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碰撞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13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36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10</w:t>
            </w:r>
          </w:p>
        </w:tc>
        <w:tc>
          <w:tcPr>
            <w:tcW w:w="1750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自沉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1750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触礁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触碰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火灾爆炸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50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8" w:type="dxa"/>
            <w:tcBorders>
              <w:bottom w:val="single" w:color="auto" w:sz="4" w:space="0"/>
            </w:tcBorders>
            <w:shd w:val="clear" w:color="auto" w:fill="E5DFE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其他类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bottom w:val="single" w:color="auto" w:sz="4" w:space="0"/>
            </w:tcBorders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8" w:type="dxa"/>
            <w:tcBorders>
              <w:bottom w:val="single" w:color="auto" w:sz="4" w:space="0"/>
            </w:tcBorders>
            <w:shd w:val="clear" w:color="auto" w:fill="E5DFE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风灾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shd w:val="clear" w:color="auto" w:fill="E5DFE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bottom w:val="single" w:color="auto" w:sz="4" w:space="0"/>
            </w:tcBorders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48" w:type="dxa"/>
            <w:shd w:val="clear" w:color="auto" w:fill="76923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合计</w:t>
            </w:r>
          </w:p>
        </w:tc>
        <w:tc>
          <w:tcPr>
            <w:tcW w:w="1748" w:type="dxa"/>
            <w:shd w:val="clear" w:color="auto" w:fill="76923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23</w:t>
            </w:r>
          </w:p>
        </w:tc>
        <w:tc>
          <w:tcPr>
            <w:tcW w:w="1748" w:type="dxa"/>
            <w:shd w:val="clear" w:color="auto" w:fill="76923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45</w:t>
            </w:r>
          </w:p>
        </w:tc>
        <w:tc>
          <w:tcPr>
            <w:tcW w:w="1748" w:type="dxa"/>
            <w:shd w:val="clear" w:color="auto" w:fill="76923C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17</w:t>
            </w:r>
          </w:p>
        </w:tc>
        <w:tc>
          <w:tcPr>
            <w:tcW w:w="1750" w:type="dxa"/>
            <w:shd w:val="clear" w:color="auto" w:fill="76923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5556.35</w:t>
            </w:r>
          </w:p>
        </w:tc>
      </w:tr>
    </w:tbl>
    <w:p>
      <w:pPr>
        <w:spacing w:line="360" w:lineRule="auto"/>
        <w:ind w:firstLine="477" w:firstLineChars="198"/>
        <w:jc w:val="center"/>
        <w:rPr>
          <w:rFonts w:ascii="宋体" w:hAnsi="宋体"/>
          <w:sz w:val="28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图五：一般等级及以上事故种类比例分布图</w:t>
      </w:r>
    </w:p>
    <w:p>
      <w:pPr>
        <w:spacing w:line="360" w:lineRule="auto"/>
        <w:ind w:firstLine="554" w:firstLineChars="198"/>
        <w:jc w:val="center"/>
        <w:rPr>
          <w:rFonts w:ascii="宋体" w:hAnsi="宋体" w:cs="Arial"/>
          <w:b/>
          <w:sz w:val="28"/>
          <w:szCs w:val="28"/>
        </w:rPr>
      </w:pPr>
      <w:r>
        <w:rPr>
          <w:rFonts w:ascii="宋体" w:hAnsi="宋体"/>
          <w:sz w:val="28"/>
        </w:rPr>
        <w:drawing>
          <wp:inline distT="0" distB="0" distL="0" distR="0">
            <wp:extent cx="4679950" cy="1943100"/>
            <wp:effectExtent l="0" t="0" r="0" b="0"/>
            <wp:docPr id="4" name="对象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pacing w:line="360" w:lineRule="auto"/>
        <w:ind w:firstLine="596" w:firstLineChars="198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宋体" w:hAnsi="宋体" w:cs="Arial"/>
          <w:b/>
          <w:sz w:val="30"/>
          <w:szCs w:val="30"/>
        </w:rPr>
        <w:t>（八）</w:t>
      </w:r>
      <w:r>
        <w:rPr>
          <w:rFonts w:hint="eastAsia" w:ascii="仿宋_GB2312" w:hAnsi="宋体" w:eastAsia="仿宋_GB2312"/>
          <w:b/>
          <w:sz w:val="32"/>
          <w:szCs w:val="32"/>
        </w:rPr>
        <w:t>一般等级及以上事故船舶种类与吨位分布。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1、2019年辖区一般等级及以上事故共涉及12类船舶，其中</w:t>
      </w:r>
      <w:r>
        <w:rPr>
          <w:rFonts w:hint="eastAsia" w:ascii="仿宋_GB2312" w:hAnsi="Times New Roman" w:eastAsia="仿宋_GB2312"/>
          <w:sz w:val="32"/>
          <w:szCs w:val="32"/>
        </w:rPr>
        <w:t>砂石运输船舶发生一般等级及以上事故7.5件，死亡失踪18人，沉船7艘，直接经济损失1610.35万元，四项指标同比分别下降11.8%、上升100%、下降30%和下降36.0%，占年度四项指标总数的32.6%、40%、41.2%和28.9%，年度占比分别增加8.3个百分点、增加23个百分点、减少2.3个百分点和减少1.4个百分点，其中发生较大等级事故3件、导致20人死亡失踪（砂石船15人），占今年辖区较大等级事故总数的42.9%和58.8%；事故所致船舶沉没率较大， 11艘涉事砂石运输船舶沉没7艘，船舶沉没率达63.6%</w:t>
      </w:r>
      <w:r>
        <w:rPr>
          <w:rFonts w:hint="eastAsia" w:ascii="仿宋_GB2312" w:hAnsi="宋体" w:eastAsia="仿宋_GB2312"/>
          <w:sz w:val="32"/>
          <w:szCs w:val="32"/>
        </w:rPr>
        <w:t>。涉及渔船</w:t>
      </w:r>
      <w:r>
        <w:rPr>
          <w:rFonts w:hint="eastAsia" w:ascii="仿宋_GB2312" w:hAnsi="Times New Roman" w:eastAsia="仿宋_GB2312"/>
          <w:sz w:val="32"/>
          <w:szCs w:val="32"/>
        </w:rPr>
        <w:t>一般等级及以上碰撞事故4件（涉及8起商渔船碰撞事故，其中较大等级事故4起、一般等级事故4起），死亡失踪14人，沉船4艘，直接经济损失790万元，四项指标同比分别下降42.9%、下降36.4%、下降20%和下降1.7%，</w:t>
      </w:r>
      <w:r>
        <w:rPr>
          <w:rFonts w:hint="eastAsia" w:ascii="仿宋_GB2312" w:hAnsi="宋体" w:eastAsia="仿宋_GB2312"/>
          <w:sz w:val="32"/>
          <w:szCs w:val="32"/>
        </w:rPr>
        <w:t>分别占年度等级以上事故四项指标的17.4%、31.1%、23.5%和14.2%，</w:t>
      </w:r>
      <w:r>
        <w:rPr>
          <w:rFonts w:hint="eastAsia" w:ascii="仿宋_GB2312" w:hAnsi="Times New Roman" w:eastAsia="仿宋_GB2312"/>
          <w:sz w:val="32"/>
          <w:szCs w:val="32"/>
        </w:rPr>
        <w:t>年度占比</w:t>
      </w:r>
      <w:r>
        <w:rPr>
          <w:rFonts w:hint="eastAsia" w:ascii="仿宋_GB2312" w:hAnsi="宋体" w:eastAsia="仿宋_GB2312"/>
          <w:sz w:val="32"/>
          <w:szCs w:val="32"/>
        </w:rPr>
        <w:t>分别增加2.6</w:t>
      </w:r>
      <w:r>
        <w:rPr>
          <w:rFonts w:hint="eastAsia" w:ascii="仿宋_GB2312" w:hAnsi="Times New Roman" w:eastAsia="仿宋_GB2312"/>
          <w:sz w:val="32"/>
          <w:szCs w:val="32"/>
        </w:rPr>
        <w:t>个百分点、</w:t>
      </w:r>
      <w:r>
        <w:rPr>
          <w:rFonts w:hint="eastAsia" w:ascii="仿宋_GB2312" w:hAnsi="宋体" w:eastAsia="仿宋_GB2312"/>
          <w:sz w:val="32"/>
          <w:szCs w:val="32"/>
        </w:rPr>
        <w:t>减少10</w:t>
      </w:r>
      <w:r>
        <w:rPr>
          <w:rFonts w:hint="eastAsia" w:ascii="仿宋_GB2312" w:hAnsi="Times New Roman" w:eastAsia="仿宋_GB2312"/>
          <w:sz w:val="32"/>
          <w:szCs w:val="32"/>
        </w:rPr>
        <w:t>个百分点、</w:t>
      </w:r>
      <w:r>
        <w:rPr>
          <w:rFonts w:hint="eastAsia" w:ascii="仿宋_GB2312" w:hAnsi="宋体" w:eastAsia="仿宋_GB2312"/>
          <w:sz w:val="32"/>
          <w:szCs w:val="32"/>
        </w:rPr>
        <w:t>增加1.8</w:t>
      </w:r>
      <w:r>
        <w:rPr>
          <w:rFonts w:hint="eastAsia" w:ascii="仿宋_GB2312" w:hAnsi="Times New Roman" w:eastAsia="仿宋_GB2312"/>
          <w:sz w:val="32"/>
          <w:szCs w:val="32"/>
        </w:rPr>
        <w:t>个百分点和</w:t>
      </w:r>
      <w:r>
        <w:rPr>
          <w:rFonts w:hint="eastAsia" w:ascii="仿宋_GB2312" w:hAnsi="宋体" w:eastAsia="仿宋_GB2312"/>
          <w:sz w:val="32"/>
          <w:szCs w:val="32"/>
        </w:rPr>
        <w:t>增加4.5</w:t>
      </w:r>
      <w:r>
        <w:rPr>
          <w:rFonts w:hint="eastAsia" w:ascii="仿宋_GB2312" w:hAnsi="Times New Roman" w:eastAsia="仿宋_GB2312"/>
          <w:sz w:val="32"/>
          <w:szCs w:val="32"/>
        </w:rPr>
        <w:t>个百分点。油轮、散装化学品船以及LPG等危险品运输船舶事故1.5件、死亡1人、沉船1艘、直接经济损失600万元；干杂货船事故4件、死亡失踪11人、沉船4艘、直接经济损失1110万元，同比事故件数、死亡失踪人数持平，沉船艘数上升100%，直接经济损失上升2.6%；客船事故1件、未造成人员死亡失踪及船舶沉没；</w:t>
      </w:r>
      <w:r>
        <w:rPr>
          <w:rFonts w:hint="eastAsia" w:ascii="仿宋_GB2312" w:hAnsi="宋体" w:eastAsia="仿宋_GB2312"/>
          <w:sz w:val="32"/>
          <w:szCs w:val="32"/>
        </w:rPr>
        <w:t>多用途船舶事故1件、沉船1艘；散货船事故1.5件、集装箱船事故各1.5件；涉及</w:t>
      </w:r>
      <w:r>
        <w:rPr>
          <w:rFonts w:hint="eastAsia" w:ascii="仿宋_GB2312" w:hAnsi="Times New Roman" w:eastAsia="仿宋_GB2312"/>
          <w:sz w:val="32"/>
          <w:szCs w:val="32"/>
        </w:rPr>
        <w:t>“三无”船舶事故1.5件。</w:t>
      </w:r>
      <w:r>
        <w:rPr>
          <w:rFonts w:hint="eastAsia" w:ascii="仿宋_GB2312" w:hAnsi="宋体" w:eastAsia="仿宋_GB2312"/>
          <w:sz w:val="32"/>
          <w:szCs w:val="32"/>
        </w:rPr>
        <w:t>（详见表六）</w:t>
      </w:r>
    </w:p>
    <w:p>
      <w:pPr>
        <w:spacing w:line="360" w:lineRule="auto"/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表六：一般等级及以上事故船舶种类分布统计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867"/>
        <w:gridCol w:w="1859"/>
        <w:gridCol w:w="186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75" w:type="dxa"/>
            <w:tcBorders>
              <w:bottom w:val="single" w:color="auto" w:sz="4" w:space="0"/>
            </w:tcBorders>
            <w:shd w:val="clear" w:color="auto" w:fill="4BACC6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67" w:type="dxa"/>
            <w:tcBorders>
              <w:bottom w:val="single" w:color="auto" w:sz="4" w:space="0"/>
            </w:tcBorders>
            <w:shd w:val="clear" w:color="auto" w:fill="4BACC6"/>
            <w:vAlign w:val="center"/>
          </w:tcPr>
          <w:p>
            <w:pPr>
              <w:ind w:firstLine="117" w:firstLineChars="49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事故件数</w:t>
            </w:r>
          </w:p>
        </w:tc>
        <w:tc>
          <w:tcPr>
            <w:tcW w:w="1859" w:type="dxa"/>
            <w:tcBorders>
              <w:bottom w:val="single" w:color="auto" w:sz="4" w:space="0"/>
            </w:tcBorders>
            <w:shd w:val="clear" w:color="auto" w:fill="4BACC6"/>
            <w:vAlign w:val="center"/>
          </w:tcPr>
          <w:p>
            <w:pPr>
              <w:ind w:firstLine="117" w:firstLineChars="49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死亡人数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shd w:val="clear" w:color="auto" w:fill="4BACC6"/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沉船艘数</w:t>
            </w:r>
          </w:p>
        </w:tc>
        <w:tc>
          <w:tcPr>
            <w:tcW w:w="1880" w:type="dxa"/>
            <w:tcBorders>
              <w:bottom w:val="single" w:color="auto" w:sz="4" w:space="0"/>
            </w:tcBorders>
            <w:shd w:val="clear" w:color="auto" w:fill="4BACC6"/>
            <w:vAlign w:val="center"/>
          </w:tcPr>
          <w:p>
            <w:pPr>
              <w:ind w:left="69" w:leftChars="3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直接经济损失（万元）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875" w:type="dxa"/>
            <w:shd w:val="clear" w:color="auto" w:fill="FF000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砂石运输船舶</w:t>
            </w:r>
          </w:p>
        </w:tc>
        <w:tc>
          <w:tcPr>
            <w:tcW w:w="1867" w:type="dxa"/>
            <w:shd w:val="clear" w:color="auto" w:fill="FF000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7.5</w:t>
            </w:r>
          </w:p>
        </w:tc>
        <w:tc>
          <w:tcPr>
            <w:tcW w:w="1859" w:type="dxa"/>
            <w:shd w:val="clear" w:color="auto" w:fill="FF000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18</w:t>
            </w:r>
          </w:p>
        </w:tc>
        <w:tc>
          <w:tcPr>
            <w:tcW w:w="1860" w:type="dxa"/>
            <w:shd w:val="clear" w:color="auto" w:fill="FF000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7</w:t>
            </w:r>
          </w:p>
        </w:tc>
        <w:tc>
          <w:tcPr>
            <w:tcW w:w="1880" w:type="dxa"/>
            <w:shd w:val="clear" w:color="auto" w:fill="FF000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1610.35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875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干杂货船</w:t>
            </w:r>
          </w:p>
        </w:tc>
        <w:tc>
          <w:tcPr>
            <w:tcW w:w="1867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188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875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油、危险品船</w:t>
            </w:r>
          </w:p>
        </w:tc>
        <w:tc>
          <w:tcPr>
            <w:tcW w:w="1867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1.5</w:t>
            </w:r>
          </w:p>
        </w:tc>
        <w:tc>
          <w:tcPr>
            <w:tcW w:w="1859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88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875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集装箱船</w:t>
            </w:r>
          </w:p>
        </w:tc>
        <w:tc>
          <w:tcPr>
            <w:tcW w:w="1867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1.5</w:t>
            </w:r>
          </w:p>
        </w:tc>
        <w:tc>
          <w:tcPr>
            <w:tcW w:w="1859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</w:t>
            </w:r>
          </w:p>
        </w:tc>
        <w:tc>
          <w:tcPr>
            <w:tcW w:w="188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875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客船</w:t>
            </w:r>
          </w:p>
        </w:tc>
        <w:tc>
          <w:tcPr>
            <w:tcW w:w="1867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</w:t>
            </w:r>
          </w:p>
        </w:tc>
        <w:tc>
          <w:tcPr>
            <w:tcW w:w="188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875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散货船</w:t>
            </w:r>
          </w:p>
        </w:tc>
        <w:tc>
          <w:tcPr>
            <w:tcW w:w="1867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1.5</w:t>
            </w:r>
          </w:p>
        </w:tc>
        <w:tc>
          <w:tcPr>
            <w:tcW w:w="1859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</w:t>
            </w:r>
          </w:p>
        </w:tc>
        <w:tc>
          <w:tcPr>
            <w:tcW w:w="188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875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多用途船</w:t>
            </w:r>
          </w:p>
        </w:tc>
        <w:tc>
          <w:tcPr>
            <w:tcW w:w="1867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88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875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水泥运输船</w:t>
            </w:r>
          </w:p>
        </w:tc>
        <w:tc>
          <w:tcPr>
            <w:tcW w:w="1867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0.5</w:t>
            </w:r>
          </w:p>
        </w:tc>
        <w:tc>
          <w:tcPr>
            <w:tcW w:w="1859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</w:t>
            </w:r>
          </w:p>
        </w:tc>
        <w:tc>
          <w:tcPr>
            <w:tcW w:w="188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875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渔船</w:t>
            </w:r>
          </w:p>
        </w:tc>
        <w:tc>
          <w:tcPr>
            <w:tcW w:w="1867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14</w:t>
            </w:r>
          </w:p>
        </w:tc>
        <w:tc>
          <w:tcPr>
            <w:tcW w:w="186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188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875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农用船</w:t>
            </w:r>
          </w:p>
        </w:tc>
        <w:tc>
          <w:tcPr>
            <w:tcW w:w="1867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0.5</w:t>
            </w:r>
          </w:p>
        </w:tc>
        <w:tc>
          <w:tcPr>
            <w:tcW w:w="1859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0</w:t>
            </w:r>
          </w:p>
        </w:tc>
        <w:tc>
          <w:tcPr>
            <w:tcW w:w="1880" w:type="dxa"/>
            <w:shd w:val="clear" w:color="auto" w:fill="DDD9C3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875" w:type="dxa"/>
            <w:tcBorders>
              <w:bottom w:val="single" w:color="auto" w:sz="4" w:space="0"/>
            </w:tcBorders>
            <w:shd w:val="clear" w:color="auto" w:fill="4F81BD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合计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shd w:val="clear" w:color="auto" w:fill="4F81BD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23</w:t>
            </w:r>
          </w:p>
        </w:tc>
        <w:tc>
          <w:tcPr>
            <w:tcW w:w="1859" w:type="dxa"/>
            <w:tcBorders>
              <w:bottom w:val="single" w:color="auto" w:sz="4" w:space="0"/>
            </w:tcBorders>
            <w:shd w:val="clear" w:color="auto" w:fill="4F81BD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45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shd w:val="clear" w:color="auto" w:fill="4F81BD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17</w:t>
            </w:r>
          </w:p>
        </w:tc>
        <w:tc>
          <w:tcPr>
            <w:tcW w:w="1880" w:type="dxa"/>
            <w:tcBorders>
              <w:bottom w:val="single" w:color="auto" w:sz="4" w:space="0"/>
            </w:tcBorders>
            <w:shd w:val="clear" w:color="auto" w:fill="4F81BD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5556.35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875" w:type="dxa"/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三无船舶</w:t>
            </w:r>
          </w:p>
        </w:tc>
        <w:tc>
          <w:tcPr>
            <w:tcW w:w="1867" w:type="dxa"/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1.5</w:t>
            </w:r>
          </w:p>
        </w:tc>
        <w:tc>
          <w:tcPr>
            <w:tcW w:w="1859" w:type="dxa"/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1860" w:type="dxa"/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880" w:type="dxa"/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23</w:t>
            </w:r>
          </w:p>
        </w:tc>
      </w:tr>
    </w:tbl>
    <w:p>
      <w:pPr>
        <w:spacing w:line="360" w:lineRule="auto"/>
        <w:ind w:firstLine="633" w:firstLineChars="198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2019年运输船舶发生一般等级及以上事故18.5件，其中500总吨以下船舶事故5.5件，占运输船舶事故总数的29.7%；500至1000总吨船舶事故0件，占运输船舶事故总数的0%；1000总吨至3000总吨船舶事故7件，占运输船舶事故总数的37.8%；3000总吨以上船舶事故6件，占运输船舶事故的32.4%。3000总吨以下船舶事故相对较多。（详见图六）</w:t>
      </w:r>
    </w:p>
    <w:p>
      <w:pPr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图六：一般等级及以上运输船舶事故船舶吨位比例分布图</w:t>
      </w:r>
    </w:p>
    <w:p>
      <w:pPr>
        <w:spacing w:line="360" w:lineRule="auto"/>
        <w:ind w:firstLine="596" w:firstLineChars="198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宋体" w:hAnsi="宋体"/>
          <w:b/>
          <w:sz w:val="30"/>
          <w:szCs w:val="30"/>
        </w:rPr>
        <w:drawing>
          <wp:inline distT="0" distB="0" distL="0" distR="0">
            <wp:extent cx="3067050" cy="1701800"/>
            <wp:effectExtent l="0" t="0" r="0" b="0"/>
            <wp:docPr id="5" name="对象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spacing w:line="360" w:lineRule="auto"/>
        <w:ind w:left="1" w:firstLine="630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（九）一般等级及以上事故发生水域统计。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2019年23件一般等级及以上</w:t>
      </w:r>
      <w:r>
        <w:rPr>
          <w:rFonts w:hint="eastAsia" w:ascii="仿宋_GB2312" w:hAnsi="宋体" w:eastAsia="仿宋_GB2312"/>
          <w:sz w:val="32"/>
          <w:szCs w:val="32"/>
        </w:rPr>
        <w:t>事故中，按事发水域统计，发生在专属经济区水域的事故2件、死亡失踪1人，其中商渔船碰撞事故1件、死亡失踪1人；发生在毗连区水域的事故1件，</w:t>
      </w:r>
      <w:bookmarkStart w:id="0" w:name="OLE_LINK1"/>
      <w:r>
        <w:rPr>
          <w:rFonts w:hint="eastAsia" w:ascii="仿宋_GB2312" w:hAnsi="宋体" w:eastAsia="仿宋_GB2312"/>
          <w:sz w:val="32"/>
          <w:szCs w:val="32"/>
        </w:rPr>
        <w:t>系商渔船碰撞事故、渔船人员死亡失踪5人；发生在领海水域的事故0件，</w:t>
      </w:r>
      <w:bookmarkEnd w:id="0"/>
      <w:r>
        <w:rPr>
          <w:rFonts w:hint="eastAsia" w:ascii="仿宋_GB2312" w:hAnsi="宋体" w:eastAsia="仿宋_GB2312"/>
          <w:sz w:val="32"/>
          <w:szCs w:val="32"/>
        </w:rPr>
        <w:t>发生在领海基线内其他水域事故12件、死亡失踪22人、沉船11人，发生在内水的事故8件，其中发生在港区航道水域4件、锚地水域0件、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内河水域1件，港内及码头水域个3件，发生在内水其他水域的事故0件</w:t>
      </w:r>
      <w:r>
        <w:rPr>
          <w:rFonts w:hint="eastAsia" w:ascii="仿宋_GB2312" w:hAnsi="宋体" w:eastAsia="仿宋_GB2312"/>
          <w:sz w:val="32"/>
          <w:szCs w:val="32"/>
        </w:rPr>
        <w:t>。（详见图七）</w:t>
      </w:r>
    </w:p>
    <w:p>
      <w:pPr>
        <w:spacing w:line="360" w:lineRule="auto"/>
        <w:ind w:left="1" w:firstLine="472" w:firstLineChars="196"/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图七：一般等级及以上事故发生水域比例图</w:t>
      </w:r>
    </w:p>
    <w:p>
      <w:pPr>
        <w:spacing w:line="360" w:lineRule="auto"/>
        <w:ind w:left="1" w:firstLine="472" w:firstLineChars="196"/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ascii="仿宋_GB2312" w:hAnsi="宋体" w:eastAsia="仿宋_GB2312"/>
          <w:b/>
          <w:sz w:val="24"/>
          <w:szCs w:val="24"/>
        </w:rPr>
        <w:drawing>
          <wp:inline distT="0" distB="0" distL="0" distR="0">
            <wp:extent cx="3517900" cy="2286000"/>
            <wp:effectExtent l="19050" t="0" r="25400" b="0"/>
            <wp:docPr id="6" name="对象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spacing w:line="360" w:lineRule="auto"/>
        <w:ind w:left="1"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23件一般等级及以上事故中，发生在始发港水域的有4件、航经水域15件、目的港水域4件。（见表七）</w:t>
      </w:r>
    </w:p>
    <w:p>
      <w:pPr>
        <w:spacing w:line="360" w:lineRule="auto"/>
        <w:ind w:left="1" w:firstLine="472" w:firstLineChars="196"/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表七：一般等级及以上事故发生水域数据表</w:t>
      </w:r>
    </w:p>
    <w:tbl>
      <w:tblPr>
        <w:tblStyle w:val="10"/>
        <w:tblW w:w="9285" w:type="dxa"/>
        <w:tblInd w:w="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844"/>
        <w:gridCol w:w="1844"/>
        <w:gridCol w:w="2393"/>
        <w:gridCol w:w="13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943634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94363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943634"/>
                <w:sz w:val="24"/>
                <w:szCs w:val="24"/>
              </w:rPr>
              <w:t>事故发生在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94363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943634"/>
                <w:sz w:val="24"/>
                <w:szCs w:val="24"/>
              </w:rPr>
              <w:t>始发港水域</w:t>
            </w:r>
          </w:p>
        </w:tc>
        <w:tc>
          <w:tcPr>
            <w:tcW w:w="18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94363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943634"/>
                <w:sz w:val="24"/>
                <w:szCs w:val="24"/>
              </w:rPr>
              <w:t>事故发生在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94363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943634"/>
                <w:sz w:val="24"/>
                <w:szCs w:val="24"/>
              </w:rPr>
              <w:t>目的港水域</w:t>
            </w:r>
          </w:p>
        </w:tc>
        <w:tc>
          <w:tcPr>
            <w:tcW w:w="23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94363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943634"/>
                <w:sz w:val="24"/>
                <w:szCs w:val="24"/>
              </w:rPr>
              <w:t>事故发生在非始发港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94363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943634"/>
                <w:sz w:val="24"/>
                <w:szCs w:val="24"/>
              </w:rPr>
              <w:t>和目的港（航经船舶）</w:t>
            </w:r>
          </w:p>
        </w:tc>
        <w:tc>
          <w:tcPr>
            <w:tcW w:w="13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94363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943634"/>
                <w:sz w:val="24"/>
                <w:szCs w:val="24"/>
              </w:rPr>
              <w:t>合计（件）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60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943634"/>
                <w:szCs w:val="21"/>
              </w:rPr>
              <w:t>宁波局辖区</w:t>
            </w:r>
          </w:p>
        </w:tc>
        <w:tc>
          <w:tcPr>
            <w:tcW w:w="1844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2</w:t>
            </w:r>
          </w:p>
        </w:tc>
        <w:tc>
          <w:tcPr>
            <w:tcW w:w="1844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1</w:t>
            </w:r>
          </w:p>
        </w:tc>
        <w:tc>
          <w:tcPr>
            <w:tcW w:w="2393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5</w:t>
            </w:r>
          </w:p>
        </w:tc>
        <w:tc>
          <w:tcPr>
            <w:tcW w:w="1344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6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943634"/>
                <w:szCs w:val="21"/>
              </w:rPr>
              <w:t>舟山局辖区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0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1</w:t>
            </w:r>
          </w:p>
        </w:tc>
        <w:tc>
          <w:tcPr>
            <w:tcW w:w="239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9</w:t>
            </w:r>
          </w:p>
        </w:tc>
        <w:tc>
          <w:tcPr>
            <w:tcW w:w="134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10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60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943634"/>
                <w:szCs w:val="21"/>
              </w:rPr>
              <w:t>温州局辖区</w:t>
            </w:r>
          </w:p>
        </w:tc>
        <w:tc>
          <w:tcPr>
            <w:tcW w:w="1844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2</w:t>
            </w:r>
          </w:p>
        </w:tc>
        <w:tc>
          <w:tcPr>
            <w:tcW w:w="1844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1</w:t>
            </w:r>
          </w:p>
        </w:tc>
        <w:tc>
          <w:tcPr>
            <w:tcW w:w="2393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0</w:t>
            </w:r>
          </w:p>
        </w:tc>
        <w:tc>
          <w:tcPr>
            <w:tcW w:w="1344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6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943634"/>
                <w:szCs w:val="21"/>
              </w:rPr>
              <w:t>台州局辖区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0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1</w:t>
            </w:r>
          </w:p>
        </w:tc>
        <w:tc>
          <w:tcPr>
            <w:tcW w:w="239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1</w:t>
            </w:r>
          </w:p>
        </w:tc>
        <w:tc>
          <w:tcPr>
            <w:tcW w:w="134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60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943634"/>
                <w:szCs w:val="21"/>
              </w:rPr>
              <w:t>嘉兴局辖区</w:t>
            </w:r>
          </w:p>
        </w:tc>
        <w:tc>
          <w:tcPr>
            <w:tcW w:w="1844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0</w:t>
            </w:r>
          </w:p>
        </w:tc>
        <w:tc>
          <w:tcPr>
            <w:tcW w:w="1844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0</w:t>
            </w:r>
          </w:p>
        </w:tc>
        <w:tc>
          <w:tcPr>
            <w:tcW w:w="2393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0</w:t>
            </w:r>
          </w:p>
        </w:tc>
        <w:tc>
          <w:tcPr>
            <w:tcW w:w="1344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6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943634"/>
                <w:szCs w:val="21"/>
              </w:rPr>
              <w:t>杭州局辖区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0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0</w:t>
            </w:r>
          </w:p>
        </w:tc>
        <w:tc>
          <w:tcPr>
            <w:tcW w:w="239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0</w:t>
            </w:r>
          </w:p>
        </w:tc>
        <w:tc>
          <w:tcPr>
            <w:tcW w:w="134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60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943634"/>
                <w:szCs w:val="21"/>
              </w:rPr>
              <w:t>合  计</w:t>
            </w:r>
          </w:p>
        </w:tc>
        <w:tc>
          <w:tcPr>
            <w:tcW w:w="1844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4</w:t>
            </w:r>
          </w:p>
        </w:tc>
        <w:tc>
          <w:tcPr>
            <w:tcW w:w="1844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4</w:t>
            </w:r>
          </w:p>
        </w:tc>
        <w:tc>
          <w:tcPr>
            <w:tcW w:w="2393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15</w:t>
            </w:r>
          </w:p>
        </w:tc>
        <w:tc>
          <w:tcPr>
            <w:tcW w:w="1344" w:type="dxa"/>
            <w:shd w:val="clear" w:color="auto" w:fill="EFD3D2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94363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943634"/>
                <w:szCs w:val="21"/>
              </w:rPr>
              <w:t>23</w:t>
            </w:r>
          </w:p>
        </w:tc>
      </w:tr>
    </w:tbl>
    <w:p>
      <w:pPr>
        <w:ind w:firstLine="643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（十）一般等级及以上事故船舶船籍分布。</w:t>
      </w:r>
      <w:r>
        <w:rPr>
          <w:rFonts w:hint="eastAsia" w:ascii="仿宋_GB2312" w:hAnsi="宋体" w:eastAsia="仿宋_GB2312"/>
          <w:sz w:val="32"/>
          <w:szCs w:val="32"/>
        </w:rPr>
        <w:t>23件一般等级及以上事故共涉及36艘船舶，其中运输船舶27艘，非运输船9艘。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运输船舶中，浙江6艘，外省籍12艘，外国籍9艘。9艘非运输船舶中浙江籍渔业船舶8艘、农用船1艘。</w:t>
      </w:r>
    </w:p>
    <w:p>
      <w:pPr>
        <w:spacing w:line="360" w:lineRule="auto"/>
        <w:ind w:left="1" w:firstLine="630" w:firstLineChars="196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（十一）一般等级及以上事故发生时段统计。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其中0000-0400时段，发生等级以上事故5件，死亡失踪7人、沉船3艘、直接经济损失1020万元，四项指标分别占年度等级以上事故四项指标总数的21.7%、15.6%、17.6%和18.4%；0400-0800时段，发生等级以上事故3件，死亡失踪16人、沉船3艘、直接经济损失423万元，四项指标分别占年度等级以上事故四项指标总数的13%、35.6%、17.6%和7.6%；0800-1200时段发生等级以上事故4件，死亡失踪6人、沉船3艘、直接经济损失1000万元；1200-1600时段发生等级以上事故2件，死亡失踪3人、沉船1艘、直接经济损失43万元；1600-2000时段，</w:t>
      </w:r>
      <w:bookmarkStart w:id="1" w:name="OLE_LINK2"/>
      <w:r>
        <w:rPr>
          <w:rFonts w:hint="eastAsia" w:ascii="仿宋_GB2312" w:hAnsi="宋体" w:eastAsia="仿宋_GB2312"/>
          <w:color w:val="000000"/>
          <w:sz w:val="32"/>
          <w:szCs w:val="32"/>
        </w:rPr>
        <w:t>发生等级以上事故3件，死亡失踪2人、沉船3艘、直接经济损失1200.35万元</w:t>
      </w:r>
      <w:bookmarkEnd w:id="1"/>
      <w:r>
        <w:rPr>
          <w:rFonts w:hint="eastAsia" w:ascii="仿宋_GB2312" w:hAnsi="宋体" w:eastAsia="仿宋_GB2312"/>
          <w:color w:val="000000"/>
          <w:sz w:val="32"/>
          <w:szCs w:val="32"/>
        </w:rPr>
        <w:t>；2000-2400时段，发生等级以上事故6件，死亡失踪12人、沉船4艘、直接经济损失1870万元，四项指标分别占年度等级以上事故四项指标总数的26.1%、26.7%、23.5%和33.7%。从事故发生时间统计，夜间（1800时至第二天0600时）事故多发且损失惨重，发生一般等级及以上事故16件、死亡失踪33人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>沉船12艘、直接经济损失3992万元，四项指标分别占等级以上指标总数的69.6%、73.3%、70.6%和71.8%。（见表八、图八）</w:t>
      </w:r>
    </w:p>
    <w:p>
      <w:pPr>
        <w:spacing w:line="360" w:lineRule="auto"/>
        <w:ind w:left="1" w:firstLine="472" w:firstLineChars="196"/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表八：一般等级及以上事故</w:t>
      </w:r>
      <w:r>
        <w:rPr>
          <w:rFonts w:hint="eastAsia" w:ascii="仿宋_GB2312" w:hAnsi="宋体" w:eastAsia="仿宋_GB2312"/>
          <w:b/>
          <w:sz w:val="24"/>
          <w:szCs w:val="24"/>
        </w:rPr>
        <w:t>发生时段统计表</w:t>
      </w:r>
    </w:p>
    <w:tbl>
      <w:tblPr>
        <w:tblStyle w:val="10"/>
        <w:tblW w:w="0" w:type="auto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805"/>
        <w:gridCol w:w="1666"/>
        <w:gridCol w:w="1387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9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时段</w:t>
            </w:r>
          </w:p>
        </w:tc>
        <w:tc>
          <w:tcPr>
            <w:tcW w:w="180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事故件数</w:t>
            </w:r>
          </w:p>
        </w:tc>
        <w:tc>
          <w:tcPr>
            <w:tcW w:w="1666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死亡失踪（人）</w:t>
            </w:r>
          </w:p>
        </w:tc>
        <w:tc>
          <w:tcPr>
            <w:tcW w:w="138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沉船（艘）</w:t>
            </w:r>
          </w:p>
        </w:tc>
        <w:tc>
          <w:tcPr>
            <w:tcW w:w="28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直接经济损失（万元）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93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0-4时</w:t>
            </w:r>
          </w:p>
        </w:tc>
        <w:tc>
          <w:tcPr>
            <w:tcW w:w="1805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4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9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4-8时</w:t>
            </w:r>
          </w:p>
        </w:tc>
        <w:tc>
          <w:tcPr>
            <w:tcW w:w="180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93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8-12时</w:t>
            </w:r>
          </w:p>
        </w:tc>
        <w:tc>
          <w:tcPr>
            <w:tcW w:w="1805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7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4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9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12-16时</w:t>
            </w:r>
          </w:p>
        </w:tc>
        <w:tc>
          <w:tcPr>
            <w:tcW w:w="180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93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16-20时</w:t>
            </w:r>
          </w:p>
        </w:tc>
        <w:tc>
          <w:tcPr>
            <w:tcW w:w="1805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4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1200.35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93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20-24时</w:t>
            </w:r>
          </w:p>
        </w:tc>
        <w:tc>
          <w:tcPr>
            <w:tcW w:w="180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7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93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合  计</w:t>
            </w:r>
          </w:p>
        </w:tc>
        <w:tc>
          <w:tcPr>
            <w:tcW w:w="1805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6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7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4" w:type="dxa"/>
            <w:shd w:val="clear" w:color="auto" w:fill="DFD8E8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5556.35</w:t>
            </w:r>
          </w:p>
        </w:tc>
      </w:tr>
    </w:tbl>
    <w:p>
      <w:pPr>
        <w:spacing w:line="360" w:lineRule="auto"/>
        <w:ind w:left="1" w:firstLine="472" w:firstLineChars="196"/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图八：一般等级及以上事故</w:t>
      </w:r>
      <w:r>
        <w:rPr>
          <w:rFonts w:hint="eastAsia" w:ascii="仿宋_GB2312" w:hAnsi="宋体" w:eastAsia="仿宋_GB2312"/>
          <w:b/>
          <w:sz w:val="24"/>
          <w:szCs w:val="24"/>
        </w:rPr>
        <w:t>发生时段统计图</w:t>
      </w:r>
    </w:p>
    <w:p>
      <w:pPr>
        <w:spacing w:line="360" w:lineRule="auto"/>
        <w:ind w:left="1" w:firstLine="472" w:firstLineChars="196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b/>
          <w:sz w:val="24"/>
          <w:szCs w:val="24"/>
        </w:rPr>
        <w:drawing>
          <wp:inline distT="0" distB="0" distL="0" distR="0">
            <wp:extent cx="5054600" cy="2444750"/>
            <wp:effectExtent l="0" t="0" r="5080" b="8890"/>
            <wp:docPr id="7" name="对象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spacing w:line="600" w:lineRule="exact"/>
        <w:ind w:firstLine="645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（十二）一般等级及以上事故四项指标月度分布。</w:t>
      </w:r>
      <w:r>
        <w:rPr>
          <w:rFonts w:hint="eastAsia" w:ascii="仿宋_GB2312" w:hAnsi="宋体" w:eastAsia="仿宋_GB2312"/>
          <w:sz w:val="32"/>
          <w:szCs w:val="32"/>
        </w:rPr>
        <w:t>2019年5月、6月以及11月安全形势较好，均未发生等级以上事故。9月份安全形势相对较差，四项指标均为最高，共发生等级以上事故6件、占事故总数的26.1%，死亡失踪13人、占死亡失踪总数的28.9%，沉船5艘、占沉船总数29.4%，直接经济损失1705万元，占总经济损失的30.7%；其次是10月份，虽然仅发生2件事故，但2件事故均为较大等级事故，造成8人死亡失踪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（详见表九、图九）</w:t>
      </w:r>
    </w:p>
    <w:p>
      <w:pPr>
        <w:jc w:val="center"/>
        <w:rPr>
          <w:rFonts w:ascii="仿宋_GB2312" w:hAnsi="宋体" w:eastAsia="仿宋_GB2312"/>
          <w:b/>
          <w:color w:val="000000"/>
          <w:sz w:val="24"/>
          <w:szCs w:val="24"/>
        </w:rPr>
      </w:pPr>
    </w:p>
    <w:p>
      <w:pPr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表九：一般等级及以上事故</w:t>
      </w:r>
      <w:r>
        <w:rPr>
          <w:rFonts w:hint="eastAsia" w:ascii="仿宋_GB2312" w:hAnsi="宋体" w:eastAsia="仿宋_GB2312"/>
          <w:b/>
          <w:sz w:val="24"/>
          <w:szCs w:val="24"/>
        </w:rPr>
        <w:t>四项指标月度分布统计</w:t>
      </w:r>
    </w:p>
    <w:tbl>
      <w:tblPr>
        <w:tblStyle w:val="10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550"/>
        <w:gridCol w:w="1692"/>
        <w:gridCol w:w="1692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bottom w:val="single" w:color="auto" w:sz="4" w:space="0"/>
            </w:tcBorders>
            <w:shd w:val="clear" w:color="auto" w:fill="00B050"/>
            <w:vAlign w:val="center"/>
          </w:tcPr>
          <w:p>
            <w:pPr>
              <w:ind w:left="34" w:hanging="33" w:hangingChars="1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月份</w:t>
            </w:r>
          </w:p>
        </w:tc>
        <w:tc>
          <w:tcPr>
            <w:tcW w:w="1550" w:type="dxa"/>
            <w:tcBorders>
              <w:bottom w:val="single" w:color="auto" w:sz="4" w:space="0"/>
            </w:tcBorders>
            <w:shd w:val="clear" w:color="auto" w:fill="00B050"/>
            <w:vAlign w:val="center"/>
          </w:tcPr>
          <w:p>
            <w:pPr>
              <w:ind w:left="34" w:hanging="33" w:hangingChars="1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事故件数</w:t>
            </w:r>
          </w:p>
        </w:tc>
        <w:tc>
          <w:tcPr>
            <w:tcW w:w="1692" w:type="dxa"/>
            <w:tcBorders>
              <w:bottom w:val="single" w:color="auto" w:sz="4" w:space="0"/>
            </w:tcBorders>
            <w:shd w:val="clear" w:color="auto" w:fill="00B050"/>
            <w:vAlign w:val="center"/>
          </w:tcPr>
          <w:p>
            <w:pPr>
              <w:ind w:left="34" w:hanging="33" w:hangingChars="1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死亡人数</w:t>
            </w:r>
          </w:p>
        </w:tc>
        <w:tc>
          <w:tcPr>
            <w:tcW w:w="1692" w:type="dxa"/>
            <w:tcBorders>
              <w:bottom w:val="single" w:color="auto" w:sz="4" w:space="0"/>
            </w:tcBorders>
            <w:shd w:val="clear" w:color="auto" w:fill="00B050"/>
            <w:vAlign w:val="center"/>
          </w:tcPr>
          <w:p>
            <w:pPr>
              <w:ind w:left="34" w:hanging="33" w:hangingChars="1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沉船艘数</w:t>
            </w:r>
          </w:p>
        </w:tc>
        <w:tc>
          <w:tcPr>
            <w:tcW w:w="2681" w:type="dxa"/>
            <w:tcBorders>
              <w:bottom w:val="single" w:color="auto" w:sz="4" w:space="0"/>
            </w:tcBorders>
            <w:shd w:val="clear" w:color="auto" w:fill="00B050"/>
            <w:vAlign w:val="center"/>
          </w:tcPr>
          <w:p>
            <w:pPr>
              <w:ind w:left="34" w:hanging="33" w:hangingChars="1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直接经济损失（万元）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92D050"/>
            <w:vAlign w:val="center"/>
          </w:tcPr>
          <w:p>
            <w:pPr>
              <w:ind w:left="34" w:hanging="33" w:hangingChars="14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2" w:name="OLE_LINK3" w:colFirst="4" w:colLast="4"/>
            <w:r>
              <w:rPr>
                <w:rFonts w:hint="eastAsia" w:ascii="仿宋_GB2312" w:hAnsi="宋体" w:eastAsia="仿宋_GB2312"/>
                <w:sz w:val="24"/>
                <w:szCs w:val="24"/>
              </w:rPr>
              <w:t>1 月</w:t>
            </w:r>
          </w:p>
        </w:tc>
        <w:tc>
          <w:tcPr>
            <w:tcW w:w="1550" w:type="dxa"/>
            <w:shd w:val="clear" w:color="auto" w:fill="92D050"/>
            <w:vAlign w:val="center"/>
          </w:tcPr>
          <w:p>
            <w:pPr>
              <w:ind w:left="34" w:hanging="34" w:hangingChars="14"/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ind w:left="34" w:hanging="34" w:hangingChars="14"/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ind w:left="34" w:hanging="34" w:hangingChars="14"/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681" w:type="dxa"/>
            <w:shd w:val="clear" w:color="auto" w:fill="92D050"/>
            <w:vAlign w:val="center"/>
          </w:tcPr>
          <w:p>
            <w:pPr>
              <w:ind w:left="34" w:hanging="34" w:hangingChars="14"/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150.35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 月</w:t>
            </w:r>
          </w:p>
        </w:tc>
        <w:tc>
          <w:tcPr>
            <w:tcW w:w="1550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681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 月</w:t>
            </w:r>
          </w:p>
        </w:tc>
        <w:tc>
          <w:tcPr>
            <w:tcW w:w="1550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681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4月</w:t>
            </w:r>
          </w:p>
        </w:tc>
        <w:tc>
          <w:tcPr>
            <w:tcW w:w="1550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681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5月</w:t>
            </w:r>
          </w:p>
        </w:tc>
        <w:tc>
          <w:tcPr>
            <w:tcW w:w="1550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681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6月</w:t>
            </w:r>
          </w:p>
        </w:tc>
        <w:tc>
          <w:tcPr>
            <w:tcW w:w="1550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681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7月</w:t>
            </w:r>
          </w:p>
        </w:tc>
        <w:tc>
          <w:tcPr>
            <w:tcW w:w="1550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681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8月</w:t>
            </w:r>
          </w:p>
        </w:tc>
        <w:tc>
          <w:tcPr>
            <w:tcW w:w="1550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681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9月</w:t>
            </w:r>
          </w:p>
        </w:tc>
        <w:tc>
          <w:tcPr>
            <w:tcW w:w="1550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2681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10月</w:t>
            </w:r>
          </w:p>
        </w:tc>
        <w:tc>
          <w:tcPr>
            <w:tcW w:w="1550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681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11月</w:t>
            </w:r>
          </w:p>
        </w:tc>
        <w:tc>
          <w:tcPr>
            <w:tcW w:w="1550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681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12月</w:t>
            </w:r>
          </w:p>
        </w:tc>
        <w:tc>
          <w:tcPr>
            <w:tcW w:w="1550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1692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681" w:type="dxa"/>
            <w:shd w:val="clear" w:color="auto" w:fill="92D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700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shd w:val="clear" w:color="auto" w:fill="00B05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 计</w:t>
            </w:r>
          </w:p>
        </w:tc>
        <w:tc>
          <w:tcPr>
            <w:tcW w:w="1550" w:type="dxa"/>
            <w:shd w:val="clear" w:color="auto" w:fill="00B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23</w:t>
            </w:r>
          </w:p>
        </w:tc>
        <w:tc>
          <w:tcPr>
            <w:tcW w:w="1692" w:type="dxa"/>
            <w:shd w:val="clear" w:color="auto" w:fill="00B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45</w:t>
            </w:r>
          </w:p>
        </w:tc>
        <w:tc>
          <w:tcPr>
            <w:tcW w:w="1692" w:type="dxa"/>
            <w:shd w:val="clear" w:color="auto" w:fill="00B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17</w:t>
            </w:r>
          </w:p>
        </w:tc>
        <w:tc>
          <w:tcPr>
            <w:tcW w:w="2681" w:type="dxa"/>
            <w:shd w:val="clear" w:color="auto" w:fill="00B05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5556.35</w:t>
            </w:r>
          </w:p>
        </w:tc>
      </w:tr>
    </w:tbl>
    <w:p>
      <w:pPr>
        <w:spacing w:line="360" w:lineRule="auto"/>
        <w:ind w:firstLine="482" w:firstLineChars="200"/>
        <w:jc w:val="center"/>
        <w:rPr>
          <w:rFonts w:ascii="仿宋_GB2312" w:hAnsi="宋体" w:eastAsia="仿宋_GB2312"/>
          <w:b/>
          <w:color w:val="000000"/>
          <w:sz w:val="24"/>
          <w:szCs w:val="24"/>
        </w:rPr>
      </w:pPr>
    </w:p>
    <w:p>
      <w:pPr>
        <w:spacing w:line="360" w:lineRule="auto"/>
        <w:ind w:firstLine="482" w:firstLineChars="200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图九：一般等级及以上事故</w:t>
      </w:r>
      <w:r>
        <w:rPr>
          <w:rFonts w:hint="eastAsia" w:ascii="仿宋_GB2312" w:hAnsi="宋体" w:eastAsia="仿宋_GB2312"/>
          <w:b/>
          <w:sz w:val="24"/>
          <w:szCs w:val="24"/>
        </w:rPr>
        <w:t>四项指标月度分布图</w:t>
      </w:r>
    </w:p>
    <w:p>
      <w:pPr>
        <w:spacing w:line="360" w:lineRule="auto"/>
        <w:ind w:left="1" w:firstLine="282" w:firstLineChars="134"/>
        <w:jc w:val="center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drawing>
          <wp:inline distT="0" distB="0" distL="0" distR="0">
            <wp:extent cx="4711700" cy="1682750"/>
            <wp:effectExtent l="0" t="0" r="0" b="0"/>
            <wp:docPr id="8" name="对象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spacing w:line="360" w:lineRule="auto"/>
        <w:ind w:left="1" w:firstLine="282" w:firstLineChars="134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/>
          <w:b/>
          <w:bCs/>
        </w:rPr>
        <w:t xml:space="preserve">   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（十三）一般等级及以上事故四项指标季度分布。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2019年第二季度水上安全形势相对较好，事故件数、死亡失踪人数以及沉船艘数均最少，且5月、6月两个月未发生等级以上事故。第三季度</w:t>
      </w:r>
      <w:r>
        <w:rPr>
          <w:rFonts w:hint="eastAsia" w:ascii="仿宋_GB2312" w:hAnsi="Times New Roman" w:eastAsia="仿宋_GB2312"/>
          <w:sz w:val="32"/>
          <w:szCs w:val="32"/>
        </w:rPr>
        <w:t>相对形势较差，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事故件数多达10件、占年度事故总数的43.5%，直接经济损失最多、达2315万元、占经济损失指标总数的41.7%；第一、三季度均</w:t>
      </w:r>
      <w:r>
        <w:rPr>
          <w:rFonts w:hint="eastAsia" w:ascii="仿宋_GB2312" w:hAnsi="Times New Roman" w:eastAsia="仿宋_GB2312"/>
          <w:sz w:val="32"/>
          <w:szCs w:val="32"/>
        </w:rPr>
        <w:t>造成16人死亡失踪人数、占年度指标总数的35.6%，沉船6艘、占年度指标总数的35.3%。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（见表十、图十）</w:t>
      </w:r>
    </w:p>
    <w:p>
      <w:pPr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表十：一般等级及以上事故</w:t>
      </w:r>
      <w:r>
        <w:rPr>
          <w:rFonts w:hint="eastAsia" w:ascii="仿宋_GB2312" w:hAnsi="宋体" w:eastAsia="仿宋_GB2312"/>
          <w:b/>
          <w:sz w:val="24"/>
          <w:szCs w:val="24"/>
        </w:rPr>
        <w:t>四项指标季度分布统计</w:t>
      </w:r>
    </w:p>
    <w:tbl>
      <w:tblPr>
        <w:tblStyle w:val="10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632"/>
        <w:gridCol w:w="1755"/>
        <w:gridCol w:w="1622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6923C"/>
          </w:tcPr>
          <w:p>
            <w:pPr>
              <w:ind w:firstLine="472" w:firstLineChars="196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季度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6923C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事故件数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6923C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死亡人数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6923C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沉船艘数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6923C"/>
          </w:tcPr>
          <w:p>
            <w:pPr>
              <w:ind w:left="482" w:hanging="482" w:hangingChars="200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直接经济损失（万元）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第一季度</w:t>
            </w:r>
          </w:p>
        </w:tc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16</w:t>
            </w: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2281.35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第二季度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第三季度</w:t>
            </w:r>
          </w:p>
        </w:tc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16</w:t>
            </w: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2315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第四季度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611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合  计</w:t>
            </w:r>
          </w:p>
        </w:tc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23</w:t>
            </w:r>
          </w:p>
        </w:tc>
        <w:tc>
          <w:tcPr>
            <w:tcW w:w="1755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45</w:t>
            </w:r>
          </w:p>
        </w:tc>
        <w:tc>
          <w:tcPr>
            <w:tcW w:w="1622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17</w:t>
            </w:r>
          </w:p>
        </w:tc>
        <w:tc>
          <w:tcPr>
            <w:tcW w:w="2406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FF"/>
                <w:sz w:val="24"/>
                <w:szCs w:val="24"/>
              </w:rPr>
              <w:t>5556.35</w:t>
            </w:r>
          </w:p>
        </w:tc>
      </w:tr>
    </w:tbl>
    <w:p>
      <w:pPr>
        <w:jc w:val="center"/>
        <w:rPr>
          <w:rFonts w:ascii="仿宋_GB2312" w:hAnsi="宋体" w:eastAsia="仿宋_GB2312"/>
          <w:b/>
          <w:color w:val="000000"/>
          <w:sz w:val="24"/>
          <w:szCs w:val="24"/>
        </w:rPr>
      </w:pP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图十：一般等级及以上事故</w:t>
      </w:r>
      <w:r>
        <w:rPr>
          <w:rFonts w:hint="eastAsia" w:ascii="仿宋_GB2312" w:hAnsi="宋体" w:eastAsia="仿宋_GB2312"/>
          <w:b/>
          <w:sz w:val="24"/>
          <w:szCs w:val="24"/>
        </w:rPr>
        <w:t>四项指标季度分布统计</w:t>
      </w:r>
    </w:p>
    <w:p>
      <w:pPr>
        <w:spacing w:line="360" w:lineRule="auto"/>
        <w:ind w:left="1" w:firstLine="282" w:firstLineChars="134"/>
        <w:jc w:val="center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drawing>
          <wp:inline distT="0" distB="0" distL="0" distR="0">
            <wp:extent cx="4813300" cy="2101850"/>
            <wp:effectExtent l="0" t="0" r="0" b="0"/>
            <wp:docPr id="9" name="对象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hint="eastAsia" w:ascii="宋体" w:hAnsi="宋体"/>
          <w:b/>
          <w:bCs/>
        </w:rPr>
        <w:t xml:space="preserve">    </w:t>
      </w:r>
    </w:p>
    <w:p>
      <w:pPr>
        <w:spacing w:line="360" w:lineRule="auto"/>
        <w:ind w:left="1" w:firstLine="430" w:firstLineChars="134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 xml:space="preserve"> 三、2019年</w:t>
      </w:r>
      <w:r>
        <w:rPr>
          <w:rFonts w:hint="eastAsia" w:ascii="仿宋_GB2312" w:hAnsi="宋体" w:eastAsia="仿宋_GB2312"/>
          <w:b/>
          <w:sz w:val="32"/>
          <w:szCs w:val="32"/>
        </w:rPr>
        <w:t>辖区人员死亡失踪事故</w:t>
      </w:r>
      <w:r>
        <w:rPr>
          <w:rFonts w:hint="eastAsia" w:ascii="仿宋_GB2312" w:hAnsi="宋体" w:eastAsia="仿宋_GB2312" w:cs="Arial"/>
          <w:b/>
          <w:sz w:val="32"/>
          <w:szCs w:val="32"/>
        </w:rPr>
        <w:t>案例</w:t>
      </w:r>
    </w:p>
    <w:p>
      <w:pPr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2019年辖区发生造成人员死亡失踪的事故15件，其中死亡失踪3人及以上较大事故7件、死亡失踪34人，</w:t>
      </w:r>
      <w:r>
        <w:rPr>
          <w:rFonts w:hint="eastAsia" w:ascii="仿宋_GB2312" w:hAnsi="宋体" w:eastAsia="仿宋_GB2312"/>
          <w:sz w:val="32"/>
          <w:szCs w:val="32"/>
        </w:rPr>
        <w:t>死亡失踪1-2人事故8件，</w:t>
      </w:r>
      <w:r>
        <w:rPr>
          <w:rFonts w:hint="eastAsia" w:ascii="仿宋_GB2312" w:hAnsi="宋体" w:eastAsia="仿宋_GB2312" w:cs="Arial"/>
          <w:sz w:val="32"/>
          <w:szCs w:val="32"/>
        </w:rPr>
        <w:t>具体案例</w:t>
      </w:r>
      <w:r>
        <w:rPr>
          <w:rFonts w:hint="eastAsia" w:ascii="仿宋_GB2312" w:hAnsi="宋体" w:eastAsia="仿宋_GB2312" w:cs="Arial"/>
          <w:b/>
          <w:sz w:val="32"/>
          <w:szCs w:val="32"/>
        </w:rPr>
        <w:t>见文后附件</w:t>
      </w:r>
      <w:r>
        <w:rPr>
          <w:rFonts w:hint="eastAsia" w:ascii="仿宋_GB2312" w:hAnsi="宋体" w:eastAsia="仿宋_GB2312" w:cs="Arial"/>
          <w:sz w:val="32"/>
          <w:szCs w:val="32"/>
        </w:rPr>
        <w:t>。</w:t>
      </w: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四、辖区外浙江籍船舶水上交通事故情况</w:t>
      </w:r>
    </w:p>
    <w:p>
      <w:pPr>
        <w:spacing w:line="360" w:lineRule="auto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浙江籍船舶在辖区以外水域发生事故66起（45件），造成浙江籍船舶船上7人死亡失踪、浙江籍船舶沉没8艘、直接经济损失3315.7万元，同比事故件数增加0.5件、上升1.1%，死亡失踪人数减少7人、下降50%，沉船增加2艘、上升33.3%，直接经济损失增加442.2万元、上升15.4%；其中，一般等级及以上事故10起（8件）、死亡失踪7人、沉船3艘、直接经济损失约2051万元，同比事故数量减少1起、下降9.1%，死亡失踪人数减少7人、下降50%，沉船艘数减少1艘、下降25%，直接经济损失减少150.3万元、下降7.9%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其中较大等级事故2起、造成7人死亡失踪（浙江籍船舶3人、江苏籍油船4人）。</w:t>
      </w:r>
      <w:r>
        <w:rPr>
          <w:rFonts w:hint="eastAsia" w:ascii="仿宋_GB2312" w:hAnsi="宋体" w:eastAsia="仿宋_GB2312"/>
          <w:bCs/>
          <w:sz w:val="32"/>
          <w:szCs w:val="32"/>
        </w:rPr>
        <w:t>人员死亡失踪事故案例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见文后附件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</w:p>
    <w:p>
      <w:pPr>
        <w:spacing w:line="60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五、2019年度辖区水上交通事故特点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2019年辖区水域一般等级及以上事故主要存在以下五个特点：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（一）碰撞事故多。</w:t>
      </w:r>
      <w:r>
        <w:rPr>
          <w:rFonts w:hint="eastAsia" w:ascii="仿宋_GB2312" w:eastAsia="仿宋_GB2312"/>
          <w:sz w:val="32"/>
          <w:szCs w:val="32"/>
        </w:rPr>
        <w:t>2019年辖区沿海水域发生碰撞事故61件、造成36人死亡失踪、18艘船舶沉没、直接经济损失5029.5万元，四项指标分别占同期事故相应指标总数的55.5%、80%、46.2%和48.6%。其中一般等级及以上碰撞事故13件、死亡失踪36人、沉船10艘、直接经济损失2556万元，分别占年度等级以上事故四项指标的56.5%、80%、58.8%和46%，尤其是发生6件较大等级碰撞事故、造成30人死亡失踪、6艘船舶沉没。</w:t>
      </w:r>
    </w:p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（二）商渔船事故风险高。</w:t>
      </w:r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ascii="仿宋_GB2312" w:hAnsi="仿宋" w:eastAsia="仿宋_GB2312"/>
          <w:bCs/>
          <w:sz w:val="32"/>
          <w:szCs w:val="32"/>
        </w:rPr>
        <w:t>辖区沿海水域共发生商渔船碰撞事故28起，占同期事故总量的25.5%，占同期碰撞事故总量的45.9%。其中</w:t>
      </w:r>
      <w:r>
        <w:rPr>
          <w:rFonts w:hint="eastAsia" w:ascii="仿宋_GB2312" w:hAnsi="宋体" w:eastAsia="仿宋_GB2312"/>
          <w:sz w:val="32"/>
          <w:szCs w:val="32"/>
        </w:rPr>
        <w:t>一般等级及以上事故9起，共造成27人死亡失踪、7艘船舶沉没，同比分别下降30.8%、上升21.7%、下降22.2%，三项指标分别占年度等级以上事故相应指标总数的39.1%、62.2%、41.1%，商渔船碰撞事故造成的人员伤亡失踪率比较高，今年商渔船事故造成商船人员死亡失踪多达13人，与渔船船上人员死亡14人接近</w:t>
      </w:r>
      <w:r>
        <w:rPr>
          <w:rFonts w:hint="eastAsia" w:ascii="仿宋_GB2312" w:hAnsi="仿宋" w:eastAsia="仿宋_GB2312"/>
          <w:bCs/>
          <w:sz w:val="32"/>
          <w:szCs w:val="32"/>
        </w:rPr>
        <w:t>。另外，今年辖区沿海发生的7</w:t>
      </w:r>
      <w:r>
        <w:rPr>
          <w:rFonts w:hint="eastAsia" w:ascii="仿宋_GB2312" w:hAnsi="宋体" w:eastAsia="仿宋_GB2312"/>
          <w:sz w:val="32"/>
          <w:szCs w:val="32"/>
        </w:rPr>
        <w:t>起较大等级事故中，商渔船碰撞较大事故占4起，且造成23人死亡。据初步统计今年进出港船舶数量超250万艘次，同时浙江省全省拥有渔船近25000余艘，加上来自福建、山东、江苏等地的渔船，辖区沿海商渔船交汇密集，碰撞风险很高。</w:t>
      </w:r>
    </w:p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 （三）砂石运输船舶事故多发。</w:t>
      </w:r>
      <w:r>
        <w:rPr>
          <w:rFonts w:hint="eastAsia" w:ascii="仿宋_GB2312" w:hAnsi="宋体" w:eastAsia="仿宋_GB2312"/>
          <w:sz w:val="32"/>
          <w:szCs w:val="32"/>
        </w:rPr>
        <w:t>2019年沿海水域共发生涉及砂石运输船舶事故44起、砂石运输船舶死亡失踪18人、砂石运输船沉没16艘、直接经济损失4258.3万元；其中较大等级事故5起，为去年同期的2.5倍、造成砂石运输船舶死亡失踪15人、沉没4艘、直接经济损失810万元；一般等级事故6起、砂石运输船舶死亡失踪3人、砂石运输船沉没3艘，直接经济损失800.35万元；一般等级及以上</w:t>
      </w:r>
      <w:r>
        <w:rPr>
          <w:rFonts w:hint="eastAsia" w:ascii="仿宋_GB2312" w:eastAsia="仿宋_GB2312"/>
          <w:sz w:val="32"/>
          <w:szCs w:val="32"/>
        </w:rPr>
        <w:t>四项指标同比分别下降11.8%、上升100%、下降30%和下降36.0%，</w:t>
      </w:r>
      <w:r>
        <w:rPr>
          <w:rFonts w:hint="eastAsia" w:ascii="仿宋_GB2312" w:hAnsi="宋体" w:eastAsia="仿宋_GB2312"/>
          <w:sz w:val="32"/>
          <w:szCs w:val="32"/>
        </w:rPr>
        <w:t>人员死亡失踪增幅较大。涉及砂石运输船舶事故种类主要还是碰撞，44起涉及砂石运输船舶事故中碰撞事故达26起、占59.1%，其中一般等级及以上碰撞事故7起，占砂石运输船舶等级事故的63.6%；其次是触礁和触碰码头桥梁等事故8起，自沉事故5起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（四）舟山水域事故较多。</w:t>
      </w:r>
      <w:r>
        <w:rPr>
          <w:rFonts w:hint="eastAsia" w:ascii="仿宋_GB2312" w:hAnsi="宋体" w:eastAsia="仿宋_GB2312"/>
          <w:sz w:val="32"/>
          <w:szCs w:val="32"/>
        </w:rPr>
        <w:t>2019年</w:t>
      </w:r>
      <w:r>
        <w:rPr>
          <w:rFonts w:hint="eastAsia" w:ascii="仿宋_GB2312" w:eastAsia="仿宋_GB2312"/>
          <w:sz w:val="32"/>
          <w:szCs w:val="32"/>
        </w:rPr>
        <w:t>舟山水域共发生水上交通事故37件，占辖区年度事故总数的33.6%。其中，一般等级及以上事故10件（较大</w:t>
      </w:r>
      <w:r>
        <w:rPr>
          <w:rFonts w:hint="eastAsia" w:ascii="仿宋_GB2312" w:hAnsi="宋体" w:eastAsia="仿宋_GB2312"/>
          <w:sz w:val="32"/>
          <w:szCs w:val="32"/>
        </w:rPr>
        <w:t>等级事故2件、一般等级事故8件），死亡失踪18人、沉船7艘、直接经济损失2912万元，分别占一般等级以上事故四项指标总数的45.5%、40%、46.7%、60%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eastAsia="仿宋_GB2312" w:asciiTheme="minorHAnsi" w:hAnsiTheme="minorHAnsi"/>
          <w:sz w:val="32"/>
          <w:szCs w:val="32"/>
        </w:rPr>
        <w:t>特别是第三季度，</w:t>
      </w:r>
      <w:r>
        <w:rPr>
          <w:rFonts w:hint="eastAsia" w:ascii="仿宋_GB2312" w:eastAsia="仿宋_GB2312"/>
          <w:sz w:val="32"/>
          <w:szCs w:val="32"/>
        </w:rPr>
        <w:t>舟山水域事故频发高发，发生水上交通事故16件，占该水域事故总数的48.5</w:t>
      </w:r>
      <w:r>
        <w:rPr>
          <w:rFonts w:hint="eastAsia" w:eastAsia="仿宋_GB2312" w:asciiTheme="minorHAnsi" w:hAnsiTheme="minorHAnsi"/>
          <w:sz w:val="32"/>
          <w:szCs w:val="32"/>
        </w:rPr>
        <w:t>%，</w:t>
      </w:r>
      <w:r>
        <w:rPr>
          <w:rFonts w:hint="eastAsia" w:ascii="仿宋_GB2312" w:eastAsia="仿宋_GB2312"/>
          <w:sz w:val="32"/>
          <w:szCs w:val="32"/>
        </w:rPr>
        <w:t>其中一般等级及以上事故8件，占该时期舟山水域事故数的50%，共造成13人死亡失踪，5艘船舶沉没，尤其是从8月23日到9月5日期间，十多天时间内，该水域接连发生7件水上交通事故，海面上漂浮了上百个集装箱，衢山岛上安置了几十名遇险获救的船上人员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 xml:space="preserve">    （五）夜间水上交通</w:t>
      </w:r>
      <w:r>
        <w:rPr>
          <w:rFonts w:hint="eastAsia" w:ascii="仿宋_GB2312" w:hAnsi="宋体" w:eastAsia="仿宋_GB2312"/>
          <w:b/>
          <w:sz w:val="32"/>
          <w:szCs w:val="32"/>
        </w:rPr>
        <w:t>事故多发。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2019年辖区沿海水域水上交通事故有68起发生在1800至第二天0600时段，占年度事故总数的61.8%，其中一般等级及以上事故16起、死亡失踪33人、沉船12艘、直接经济损失3992万元，四项指标分别占等级以上指标总数的69.6%、73.3%、70.6%和71.8%。其中2000时-2400时发生一般等级及以上事故6起、造成12人死亡失踪、4艘船舶沉没、直接经济损失1870万元，分别占1800至第二天0600时段等事故指标数的40%、36.4%、40%和56.8%。另外，发生在1800至第二天0600时段的碰撞事故有41起，分别占今年事故总数的37.3%、占碰撞事故总数的67.2%，暨发生在夜间的碰撞事故占今年辖区沿海水域事故的近四成、近七成的碰撞事故发生在夜间，其中等级以上碰撞事故10起包括5起较大等级碰撞事故、共造成28人死亡失踪、8艘船舶沉没，占等级以上事故的43.5%（较大等级事故的71.4%）、62.2%和47.1%。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六、2019年辖区水上交通事故原因分析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（一）企业安全管理主体责任落实不到位。</w:t>
      </w:r>
      <w:r>
        <w:rPr>
          <w:rFonts w:hint="eastAsia" w:ascii="仿宋_GB2312" w:eastAsia="仿宋_GB2312"/>
          <w:sz w:val="32"/>
          <w:szCs w:val="32"/>
        </w:rPr>
        <w:t>从事故调查掌握的信息发现，体系公司管理的船舶事故发生率、造成的损失等都要小于非体系公司管理的船舶，相对来讲就是体系公司管理比较规范，管理的船舶技术状况、船上人员业务能力都要强于非体系公司，也从侧面反映公司管理的重要性。但现在有部分航运企业安全管理主体责任落实不到位，</w:t>
      </w: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对公司船舶疏于管理，有的公司对挂靠船舶除了收钱，将船舶安全与防污染职责完全交由船东自己管理，压根不掌握船舶的状况、动态、船上人员配备等情况，有的公司在船舶发生事故后未能及时响应，也未能总结事故经验教训，没有将相关的制度落实到船，造成所管理船舶接连发生事故，更有甚者，所管理船舶发生事故后竟然不派人进行善后处置。</w:t>
      </w:r>
      <w:r>
        <w:rPr>
          <w:rFonts w:hint="eastAsia" w:ascii="仿宋_GB2312" w:eastAsia="仿宋_GB2312"/>
          <w:b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聘用未持有船员适任证书的人员上船作业，这一现象在非体系船舶中比较多见，今年在辖区水域发生的23件等级以上事故中有12件事故所涉及的船舶存在人员无证的情况，包括部分渔船人员无证。</w:t>
      </w:r>
      <w:r>
        <w:rPr>
          <w:rFonts w:hint="eastAsia" w:ascii="仿宋_GB2312" w:eastAsia="仿宋_GB2312"/>
          <w:b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部分内河船舶管理公司漠视安全，对管理船舶违法违规参与海上砂石运输听之任之，放任不管。</w:t>
      </w:r>
      <w:r>
        <w:rPr>
          <w:rFonts w:hint="eastAsia" w:ascii="仿宋_GB2312" w:eastAsia="仿宋_GB2312"/>
          <w:b/>
          <w:sz w:val="32"/>
          <w:szCs w:val="32"/>
        </w:rPr>
        <w:t>四是</w:t>
      </w:r>
      <w:r>
        <w:rPr>
          <w:rFonts w:hint="eastAsia" w:ascii="仿宋_GB2312" w:eastAsia="仿宋_GB2312"/>
          <w:sz w:val="32"/>
          <w:szCs w:val="32"/>
        </w:rPr>
        <w:t>船舶维护保养不当，未能及时消除船舶存在的安全隐患。甚至有的公司为了节约燃油成本，使用非正规渠道油品，结果因燃油含水量过高导致主机故障停车，造成险情。</w:t>
      </w:r>
    </w:p>
    <w:p>
      <w:pPr>
        <w:spacing w:line="360" w:lineRule="auto"/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（二）人员因素。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安全意识淡薄。从事故调查掌握的情况看，不仅仅是船上人员，也有航运公司管理人员的安全意识淡薄严重影响水上交通安全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部分船上从业人员安全意识淡薄，对无证上船服务、船舶超载运输、恶劣气象条件冒险航行等事故风险抱以无所谓的态度；</w:t>
      </w:r>
      <w:r>
        <w:rPr>
          <w:rFonts w:hint="eastAsia" w:ascii="仿宋_GB2312" w:hAnsi="宋体" w:eastAsia="仿宋_GB2312"/>
          <w:sz w:val="32"/>
          <w:szCs w:val="32"/>
        </w:rPr>
        <w:t>部分岸基人员重视船舶安检缺陷滞留等，不重视事故隐患的排查整治，对险情事故抱有侥幸心理。</w:t>
      </w:r>
      <w:r>
        <w:rPr>
          <w:rFonts w:hint="eastAsia" w:ascii="仿宋_GB2312" w:hAnsi="宋体" w:eastAsia="仿宋_GB2312"/>
          <w:b/>
          <w:sz w:val="32"/>
          <w:szCs w:val="32"/>
        </w:rPr>
        <w:t>二是</w:t>
      </w:r>
      <w:r>
        <w:rPr>
          <w:rFonts w:hint="eastAsia" w:ascii="仿宋_GB2312" w:hAnsi="宋体" w:eastAsia="仿宋_GB2312"/>
          <w:sz w:val="32"/>
          <w:szCs w:val="32"/>
        </w:rPr>
        <w:t>部分船上人员责任心不强，航行期间未能保持正规了望，导致海上碰撞事故多发。有的人员</w:t>
      </w:r>
      <w:r>
        <w:rPr>
          <w:rFonts w:hint="eastAsia" w:ascii="仿宋_GB2312" w:hAnsi="仿宋" w:eastAsia="仿宋_GB2312" w:cs="仿宋_GB2312"/>
          <w:sz w:val="32"/>
          <w:szCs w:val="32"/>
        </w:rPr>
        <w:t>不注重航线计划、</w:t>
      </w:r>
      <w:r>
        <w:rPr>
          <w:rFonts w:hint="eastAsia" w:ascii="仿宋_GB2312" w:hAnsi="仿宋_GB2312" w:eastAsia="仿宋_GB2312" w:cs="仿宋_GB2312"/>
          <w:sz w:val="32"/>
          <w:szCs w:val="32"/>
        </w:rPr>
        <w:t>航行过程中懒于</w:t>
      </w:r>
      <w:r>
        <w:rPr>
          <w:rFonts w:hint="eastAsia" w:ascii="仿宋_GB2312" w:hAnsi="仿宋" w:eastAsia="仿宋_GB2312" w:cs="仿宋_GB2312"/>
          <w:sz w:val="32"/>
          <w:szCs w:val="32"/>
        </w:rPr>
        <w:t>定位、不注意观察周围通航水域环境，凭经验开船，导致船舶触礁、触碰事故多发。</w:t>
      </w:r>
      <w:r>
        <w:rPr>
          <w:rFonts w:hint="eastAsia" w:ascii="仿宋_GB2312" w:hAnsi="宋体" w:eastAsia="仿宋_GB2312"/>
          <w:b/>
          <w:sz w:val="32"/>
          <w:szCs w:val="32"/>
        </w:rPr>
        <w:t>三</w:t>
      </w:r>
      <w:r>
        <w:rPr>
          <w:rFonts w:hint="eastAsia" w:ascii="仿宋_GB2312" w:eastAsia="仿宋_GB2312"/>
          <w:b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部分船上人员应急操作能力差。</w:t>
      </w:r>
      <w:r>
        <w:rPr>
          <w:rFonts w:hint="eastAsia" w:ascii="仿宋_GB2312" w:hAnsi="宋体" w:eastAsia="仿宋_GB2312"/>
          <w:sz w:val="32"/>
          <w:szCs w:val="32"/>
        </w:rPr>
        <w:t>不熟悉航行水域通航环境、不掌握潮流信息，不熟悉本船</w:t>
      </w:r>
      <w:r>
        <w:rPr>
          <w:rFonts w:hint="eastAsia" w:ascii="仿宋_GB2312" w:eastAsia="仿宋_GB2312"/>
          <w:sz w:val="32"/>
          <w:szCs w:val="32"/>
        </w:rPr>
        <w:t>操纵性能与</w:t>
      </w:r>
      <w:r>
        <w:rPr>
          <w:rFonts w:hint="eastAsia" w:ascii="仿宋_GB2312" w:hAnsi="宋体" w:eastAsia="仿宋_GB2312"/>
          <w:sz w:val="32"/>
          <w:szCs w:val="32"/>
        </w:rPr>
        <w:t>作业限制，</w:t>
      </w:r>
      <w:r>
        <w:rPr>
          <w:rFonts w:hint="eastAsia" w:ascii="仿宋_GB2312" w:eastAsia="仿宋_GB2312"/>
          <w:bCs/>
          <w:color w:val="000000"/>
          <w:kern w:val="0"/>
          <w:sz w:val="32"/>
        </w:rPr>
        <w:t xml:space="preserve">雾中航行未能正确使用雷达对碰撞风险进行分析判断，未能采取有效的应急和自救措施。 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（三）气象海况和环境等客观因素。</w:t>
      </w:r>
    </w:p>
    <w:p>
      <w:pPr>
        <w:spacing w:line="360" w:lineRule="auto"/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浓雾台风等恶劣天气影响船舶航行作业安全。浙江沿海水域自然环境比较恶劣，冬春季的寒潮大风和东北季风、春夏交替时的浓雾，夏季的台风等恶劣天气影响水上交通安全，而且影响时间、范围也比往年有所增加。内河砂石运输船“华美天久”轮、“浙兴航87”轮与“浙嵊渔冷80002”轮碰撞等事故均发生在因雾能见度不良水域。今年，</w:t>
      </w:r>
      <w:r>
        <w:rPr>
          <w:rFonts w:ascii="仿宋_GB2312" w:eastAsia="仿宋_GB2312"/>
          <w:sz w:val="32"/>
          <w:szCs w:val="32"/>
        </w:rPr>
        <w:t>5号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丹娜丝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、9号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利奇马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、11号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白鹿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、13号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玲玲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、17</w:t>
      </w:r>
      <w:r>
        <w:rPr>
          <w:rFonts w:hint="eastAsia" w:ascii="仿宋_GB2312" w:eastAsia="仿宋_GB2312"/>
          <w:sz w:val="32"/>
          <w:szCs w:val="32"/>
        </w:rPr>
        <w:t>号“</w:t>
      </w:r>
      <w:r>
        <w:rPr>
          <w:rFonts w:ascii="仿宋_GB2312" w:eastAsia="仿宋_GB2312"/>
          <w:sz w:val="32"/>
          <w:szCs w:val="32"/>
        </w:rPr>
        <w:t>塔巴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和18号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米娜</w:t>
      </w:r>
      <w:r>
        <w:rPr>
          <w:rFonts w:hint="eastAsia" w:ascii="仿宋_GB2312" w:eastAsia="仿宋_GB2312"/>
          <w:sz w:val="32"/>
          <w:szCs w:val="32"/>
        </w:rPr>
        <w:t>”等台风接连</w:t>
      </w:r>
      <w:r>
        <w:rPr>
          <w:rFonts w:hint="eastAsia" w:ascii="仿宋_GB2312" w:hAnsi="仿宋" w:eastAsia="仿宋_GB2312"/>
          <w:bCs/>
          <w:sz w:val="32"/>
          <w:szCs w:val="32"/>
        </w:rPr>
        <w:t>影响辖区沿海水域，对辖区船舶航行作业安全造成威胁。整个防台期间，浙江省海上搜救中心值班室</w:t>
      </w:r>
      <w:r>
        <w:rPr>
          <w:rFonts w:hint="eastAsia" w:ascii="仿宋_GB2312" w:eastAsia="仿宋_GB2312"/>
          <w:sz w:val="32"/>
          <w:szCs w:val="28"/>
        </w:rPr>
        <w:t>成功组织救助遇险行动195次，</w:t>
      </w:r>
      <w:r>
        <w:rPr>
          <w:rFonts w:hint="eastAsia" w:ascii="仿宋_GB2312" w:hAnsi="仿宋" w:eastAsia="仿宋_GB2312"/>
          <w:bCs/>
          <w:sz w:val="32"/>
          <w:szCs w:val="32"/>
        </w:rPr>
        <w:t>特别是</w:t>
      </w:r>
      <w:r>
        <w:rPr>
          <w:rFonts w:ascii="仿宋_GB2312" w:eastAsia="仿宋_GB2312"/>
          <w:sz w:val="32"/>
          <w:szCs w:val="32"/>
        </w:rPr>
        <w:t>9号</w:t>
      </w:r>
      <w:r>
        <w:rPr>
          <w:rFonts w:hint="eastAsia" w:ascii="仿宋_GB2312" w:eastAsia="仿宋_GB2312"/>
          <w:sz w:val="32"/>
          <w:szCs w:val="32"/>
        </w:rPr>
        <w:t>台风“</w:t>
      </w:r>
      <w:r>
        <w:rPr>
          <w:rFonts w:ascii="仿宋_GB2312" w:eastAsia="仿宋_GB2312"/>
          <w:sz w:val="32"/>
          <w:szCs w:val="32"/>
        </w:rPr>
        <w:t>利奇马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hAnsi="仿宋" w:eastAsia="仿宋_GB2312"/>
          <w:bCs/>
          <w:sz w:val="32"/>
          <w:szCs w:val="32"/>
        </w:rPr>
        <w:t>影响期间，沿海水域发生100余起船舶走锚险情；</w:t>
      </w:r>
      <w:r>
        <w:rPr>
          <w:rFonts w:hint="eastAsia" w:ascii="仿宋_GB2312" w:hAnsi="仿宋_GB2312" w:eastAsia="仿宋_GB2312"/>
          <w:sz w:val="32"/>
          <w:szCs w:val="32"/>
        </w:rPr>
        <w:t>17号台风“塔巴”影响期间，舟山水域连续发生“繁华”轮沉没、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“瑞泰”轮断缆漂出等</w:t>
      </w:r>
      <w:r>
        <w:rPr>
          <w:rFonts w:hint="eastAsia" w:ascii="仿宋_GB2312" w:hAnsi="仿宋_GB2312" w:eastAsia="仿宋_GB2312"/>
          <w:sz w:val="32"/>
          <w:szCs w:val="32"/>
        </w:rPr>
        <w:t>事故险情</w:t>
      </w:r>
      <w:r>
        <w:rPr>
          <w:rFonts w:hint="eastAsia" w:ascii="仿宋_GB2312" w:hAnsi="仿宋" w:eastAsia="仿宋_GB2312"/>
          <w:bCs/>
          <w:sz w:val="32"/>
          <w:szCs w:val="32"/>
        </w:rPr>
        <w:t>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二是</w:t>
      </w:r>
      <w:r>
        <w:rPr>
          <w:rFonts w:hint="eastAsia" w:ascii="仿宋_GB2312" w:hAnsi="仿宋" w:eastAsia="仿宋_GB2312"/>
          <w:bCs/>
          <w:sz w:val="32"/>
          <w:szCs w:val="32"/>
        </w:rPr>
        <w:t>辖区沿海复杂的通航环境影响船舶航行作业安全。辖区</w:t>
      </w:r>
      <w:r>
        <w:rPr>
          <w:rFonts w:hint="eastAsia" w:ascii="仿宋_GB2312" w:eastAsia="仿宋_GB2312"/>
          <w:sz w:val="32"/>
          <w:szCs w:val="32"/>
        </w:rPr>
        <w:t>沿海水域岛屿群多，特别是舟山水域，岛际间潮流复杂多变，航门重叠交错，加之</w:t>
      </w:r>
      <w:r>
        <w:rPr>
          <w:rFonts w:hint="eastAsia" w:ascii="仿宋" w:hAnsi="仿宋" w:eastAsia="仿宋" w:cs="宋体"/>
          <w:sz w:val="32"/>
          <w:szCs w:val="32"/>
        </w:rPr>
        <w:t>围垦、码头建设、桥梁建设、水上水下管线建设等水工建设不同程度造成航道、码头、桥梁通航水域等交通流和水文潮流改变，</w:t>
      </w:r>
      <w:r>
        <w:rPr>
          <w:rFonts w:hint="eastAsia" w:ascii="仿宋_GB2312" w:eastAsia="仿宋_GB2312"/>
          <w:sz w:val="32"/>
          <w:szCs w:val="32"/>
        </w:rPr>
        <w:t>稍有疏忽或操纵不当即可能发生触碰、触礁或沉船事故。另外，我省沿海水域</w:t>
      </w:r>
      <w:r>
        <w:rPr>
          <w:rFonts w:hint="eastAsia" w:ascii="仿宋_GB2312" w:hAnsi="宋体" w:eastAsia="仿宋_GB2312"/>
          <w:sz w:val="32"/>
          <w:szCs w:val="32"/>
        </w:rPr>
        <w:t>每年有超过200万艘次商船进出港，全省超过2万艘次渔船在海上作业，船舶密度大，</w:t>
      </w:r>
      <w:r>
        <w:rPr>
          <w:rFonts w:ascii="仿宋_GB2312" w:hAnsi="仿宋" w:eastAsia="仿宋_GB2312"/>
          <w:bCs/>
          <w:sz w:val="32"/>
          <w:szCs w:val="32"/>
        </w:rPr>
        <w:t>商渔船交汇频繁，</w:t>
      </w:r>
      <w:r>
        <w:rPr>
          <w:rFonts w:hint="eastAsia" w:ascii="仿宋_GB2312" w:hAnsi="仿宋" w:eastAsia="仿宋_GB2312"/>
          <w:bCs/>
          <w:sz w:val="32"/>
          <w:szCs w:val="32"/>
        </w:rPr>
        <w:t>事故风险高</w:t>
      </w:r>
      <w:r>
        <w:rPr>
          <w:rFonts w:ascii="仿宋_GB2312" w:hAnsi="仿宋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七、2019年第四季度辖区水上交通事故统计分析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</w:rPr>
        <w:t>2019年第四季度辖区共发生一般等级及以上水上交通事故3件，死亡失踪8人（均为运输船舶船上人员），沉船4艘，直接经济损失850万元，同比</w:t>
      </w:r>
      <w:r>
        <w:rPr>
          <w:rFonts w:hint="eastAsia" w:ascii="仿宋_GB2312" w:hAnsi="宋体" w:eastAsia="仿宋_GB2312"/>
          <w:sz w:val="32"/>
          <w:szCs w:val="32"/>
        </w:rPr>
        <w:t>事故件</w:t>
      </w:r>
      <w:r>
        <w:rPr>
          <w:rFonts w:hint="eastAsia" w:ascii="仿宋_GB2312" w:eastAsia="仿宋_GB2312"/>
          <w:sz w:val="32"/>
          <w:szCs w:val="32"/>
        </w:rPr>
        <w:t>数下降50%、死亡失踪人数上升300%、沉船艘数持平、直接经济损失下降44.4%。其中一般等级事故1件、同比减少5件、下降83.3%；较大等级事故2件、同比增加2件；今年与去年第四季度均未发生重大等级事故。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其中：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</w:rPr>
        <w:t>运输船事故2.5件，死亡失踪8人，沉船3艘，直接经济损失350万元，同比四项指标三降一升，事故件数下降44.4%、死亡失踪人数上升300%、沉船艘数下降25%、直接经济损失下降76.9%。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</w:rPr>
        <w:t>非运输船舶一般等级及以上事故0.5件，未造成人员死亡失踪，沉船1艘，直接经济损失500万元，同比四项指标两升一降一持平，事故件数下降66.7%、均造成人员死亡失踪、沉船艘数增加1艘、直接经济损失上升5456%。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3、</w:t>
      </w:r>
      <w:r>
        <w:rPr>
          <w:rFonts w:hint="eastAsia" w:ascii="仿宋_GB2312" w:eastAsia="仿宋_GB2312"/>
          <w:sz w:val="32"/>
          <w:szCs w:val="32"/>
        </w:rPr>
        <w:t>砂石运输船舶发生一般等级及以上事故2件，同比持平，死亡失踪8人、同比增加8人，沉船3艘、同比减少1艘、下降25%，直接经济损失350万元，同比减少1005万元、下降74.2%。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4、</w:t>
      </w:r>
      <w:r>
        <w:rPr>
          <w:rFonts w:hint="eastAsia" w:ascii="仿宋_GB2312" w:eastAsia="仿宋_GB2312"/>
          <w:sz w:val="32"/>
          <w:szCs w:val="32"/>
        </w:rPr>
        <w:t>发生涉渔一般等级及以上碰撞事故0.5件（涉及1起商渔船碰撞事故），未造成渔船人员死亡失踪、渔船沉没1艘、直接经济损失500万元，四项指标同比分别为事故件数下降66.7%、均无渔船人员死亡失踪、沉船艘数增加1艘、直接经济损失上升5456%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5、</w:t>
      </w:r>
      <w:r>
        <w:rPr>
          <w:rFonts w:hint="eastAsia" w:ascii="仿宋_GB2312" w:eastAsia="仿宋_GB2312"/>
          <w:sz w:val="32"/>
          <w:szCs w:val="32"/>
        </w:rPr>
        <w:t>非五星红旗船舶发生一般等级及以上事故0.5件，未造成人员死亡失踪、船舶沉没以及直接经济损失，同比事故件数下降75%、死亡失踪减少1人、均无船舶沉没、直接经济损失减少155万元。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6、</w:t>
      </w:r>
      <w:r>
        <w:rPr>
          <w:rFonts w:hint="eastAsia" w:ascii="仿宋_GB2312" w:eastAsia="仿宋_GB2312"/>
          <w:sz w:val="32"/>
          <w:szCs w:val="32"/>
        </w:rPr>
        <w:t>无“三无船舶”发生一般等级及以上事故，去年同期也无“三无船舶”发生等级以上事故。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7、</w:t>
      </w:r>
      <w:r>
        <w:rPr>
          <w:rFonts w:hint="eastAsia" w:ascii="仿宋_GB2312" w:eastAsia="仿宋_GB2312"/>
          <w:sz w:val="32"/>
          <w:szCs w:val="32"/>
        </w:rPr>
        <w:t>内河船舶在海上发生一般等级及以上事故0.5件、无人员死亡失踪、沉船1艘、直接经济损失约200万元，同比分别为事故件数下降50%、均无人员死亡失踪、沉船艘数下降50%、直接经济损失下降80%。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8、第四季度辖区共发生水上交通小事故25件，同比减少2件、下降7.4%。</w:t>
      </w: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</w:p>
    <w:p>
      <w:pPr>
        <w:spacing w:line="360" w:lineRule="auto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（二）2019年第四季度辖区等级以上事故统计分析</w:t>
      </w:r>
    </w:p>
    <w:p>
      <w:pPr>
        <w:spacing w:line="360" w:lineRule="auto"/>
        <w:ind w:firstLine="630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 xml:space="preserve">1、一般等级及以上事故四项指标同比“两降一升一持平”。 </w:t>
      </w:r>
      <w:r>
        <w:rPr>
          <w:rFonts w:hint="eastAsia" w:ascii="仿宋_GB2312" w:hAnsi="宋体" w:eastAsia="仿宋_GB2312"/>
          <w:sz w:val="32"/>
          <w:szCs w:val="32"/>
        </w:rPr>
        <w:t>分别为事故件数下降50%、死亡失踪人数增加300%、沉船艘数持平、直接经济损失下降44.4%。（详见表十一、图十一）</w:t>
      </w:r>
    </w:p>
    <w:p>
      <w:pPr>
        <w:spacing w:line="360" w:lineRule="auto"/>
        <w:ind w:firstLine="472" w:firstLineChars="196"/>
        <w:jc w:val="center"/>
        <w:rPr>
          <w:rFonts w:ascii="仿宋_GB2312" w:hAnsi="宋体" w:eastAsia="仿宋_GB2312" w:cs="Arial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表十一：</w:t>
      </w:r>
      <w:r>
        <w:rPr>
          <w:rFonts w:hint="eastAsia" w:ascii="仿宋_GB2312" w:hAnsi="宋体" w:eastAsia="仿宋_GB2312" w:cs="Arial"/>
          <w:b/>
          <w:sz w:val="24"/>
          <w:szCs w:val="24"/>
        </w:rPr>
        <w:t>一般等级及以上事故四项指标统计表</w:t>
      </w:r>
    </w:p>
    <w:tbl>
      <w:tblPr>
        <w:tblStyle w:val="10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shd w:val="clear" w:color="auto" w:fill="CC99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1993"/>
        <w:gridCol w:w="1198"/>
        <w:gridCol w:w="1198"/>
        <w:gridCol w:w="1198"/>
        <w:gridCol w:w="193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 w:color="auto" w:fill="CC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071" w:type="dxa"/>
            <w:tcBorders>
              <w:top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统计期</w:t>
            </w:r>
          </w:p>
        </w:tc>
        <w:tc>
          <w:tcPr>
            <w:tcW w:w="119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事故件数</w:t>
            </w:r>
          </w:p>
        </w:tc>
        <w:tc>
          <w:tcPr>
            <w:tcW w:w="119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死亡失踪</w:t>
            </w:r>
          </w:p>
        </w:tc>
        <w:tc>
          <w:tcPr>
            <w:tcW w:w="119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沉船艘数</w:t>
            </w:r>
          </w:p>
        </w:tc>
        <w:tc>
          <w:tcPr>
            <w:tcW w:w="193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</w:tcBorders>
            <w:shd w:val="clear" w:color="auto" w:fill="CC99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经济损失(万元)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1071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一般等级事故</w:t>
            </w: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2019年第四季度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850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07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2018年第四季度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1529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  <w:jc w:val="center"/>
        </w:trPr>
        <w:tc>
          <w:tcPr>
            <w:tcW w:w="1071" w:type="dxa"/>
            <w:vMerge w:val="continue"/>
            <w:tcBorders>
              <w:top w:val="single" w:color="auto" w:sz="6" w:space="0"/>
              <w:bottom w:val="double" w:color="auto" w:sz="4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3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同  比（％）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-50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+300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持平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</w:tcBorders>
            <w:shd w:val="clear" w:color="auto" w:fill="CC99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-44.4</w:t>
            </w:r>
          </w:p>
        </w:tc>
      </w:tr>
    </w:tbl>
    <w:p>
      <w:pPr>
        <w:snapToGrid w:val="0"/>
        <w:rPr>
          <w:rFonts w:ascii="宋体" w:hAnsi="宋体"/>
          <w:sz w:val="18"/>
        </w:rPr>
      </w:pPr>
    </w:p>
    <w:p>
      <w:pPr>
        <w:snapToGrid w:val="0"/>
        <w:spacing w:line="360" w:lineRule="auto"/>
        <w:ind w:left="566" w:hanging="566" w:hangingChars="235"/>
        <w:jc w:val="center"/>
        <w:rPr>
          <w:rFonts w:ascii="宋体" w:hAnsi="宋体"/>
          <w:sz w:val="28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图十一：一般等级及以上事故四项指标对比图</w:t>
      </w:r>
    </w:p>
    <w:p>
      <w:pPr>
        <w:snapToGrid w:val="0"/>
        <w:spacing w:line="360" w:lineRule="auto"/>
        <w:ind w:left="658" w:hanging="658" w:hangingChars="235"/>
        <w:jc w:val="center"/>
        <w:rPr>
          <w:rFonts w:ascii="宋体" w:hAnsi="宋体"/>
          <w:sz w:val="28"/>
        </w:rPr>
      </w:pPr>
      <w:r>
        <w:rPr>
          <w:rFonts w:ascii="宋体" w:hAnsi="宋体"/>
          <w:sz w:val="28"/>
        </w:rPr>
        <w:drawing>
          <wp:inline distT="0" distB="0" distL="0" distR="0">
            <wp:extent cx="5410200" cy="1828800"/>
            <wp:effectExtent l="19050" t="0" r="19050" b="0"/>
            <wp:docPr id="16" name="对象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hint="eastAsia" w:ascii="宋体" w:hAnsi="宋体"/>
          <w:sz w:val="28"/>
        </w:rPr>
        <w:t xml:space="preserve">    </w:t>
      </w:r>
    </w:p>
    <w:p>
      <w:pPr>
        <w:snapToGrid w:val="0"/>
        <w:spacing w:line="360" w:lineRule="auto"/>
        <w:ind w:left="1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sz w:val="28"/>
        </w:rPr>
        <w:t xml:space="preserve">    </w:t>
      </w:r>
      <w:r>
        <w:rPr>
          <w:rFonts w:hint="eastAsia" w:ascii="仿宋_GB2312" w:hAnsi="宋体" w:eastAsia="仿宋_GB2312" w:cs="Arial"/>
          <w:b/>
          <w:sz w:val="32"/>
          <w:szCs w:val="32"/>
        </w:rPr>
        <w:t>2、运输船舶一般等级及以上事故四项指标同比“三降一升”。</w:t>
      </w:r>
      <w:r>
        <w:rPr>
          <w:rFonts w:hint="eastAsia" w:ascii="仿宋_GB2312" w:hAnsi="宋体" w:eastAsia="仿宋_GB2312"/>
          <w:sz w:val="32"/>
          <w:szCs w:val="32"/>
        </w:rPr>
        <w:t xml:space="preserve"> 分别为事故件数下降44.4%、死亡失踪人数上升300%、沉船艘数下降25%、直接经济损失下降76.9%。（详见表十二、图十二）</w:t>
      </w:r>
    </w:p>
    <w:p>
      <w:pPr>
        <w:snapToGrid w:val="0"/>
        <w:spacing w:line="360" w:lineRule="auto"/>
        <w:jc w:val="center"/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24"/>
          <w:szCs w:val="24"/>
        </w:rPr>
        <w:t>表十二：运输船舶</w:t>
      </w:r>
      <w:r>
        <w:rPr>
          <w:rFonts w:hint="eastAsia" w:ascii="仿宋_GB2312" w:hAnsi="宋体" w:eastAsia="仿宋_GB2312" w:cs="Arial"/>
          <w:b/>
          <w:sz w:val="24"/>
          <w:szCs w:val="24"/>
        </w:rPr>
        <w:t>一般等级及以上事故四项指标统计表</w:t>
      </w:r>
    </w:p>
    <w:tbl>
      <w:tblPr>
        <w:tblStyle w:val="10"/>
        <w:tblW w:w="9032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shd w:val="clear" w:color="auto" w:fill="DAEEF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76"/>
        <w:gridCol w:w="1411"/>
        <w:gridCol w:w="1412"/>
        <w:gridCol w:w="1269"/>
        <w:gridCol w:w="19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DAEEF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88" w:type="dxa"/>
            <w:tcBorders>
              <w:top w:val="double" w:color="auto" w:sz="4" w:space="0"/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Arial"/>
                <w:b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double" w:color="auto" w:sz="4" w:space="0"/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统计期</w:t>
            </w:r>
          </w:p>
        </w:tc>
        <w:tc>
          <w:tcPr>
            <w:tcW w:w="1411" w:type="dxa"/>
            <w:tcBorders>
              <w:top w:val="double" w:color="auto" w:sz="4" w:space="0"/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事故件数</w:t>
            </w:r>
          </w:p>
        </w:tc>
        <w:tc>
          <w:tcPr>
            <w:tcW w:w="1412" w:type="dxa"/>
            <w:tcBorders>
              <w:top w:val="double" w:color="auto" w:sz="4" w:space="0"/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死亡失踪</w:t>
            </w:r>
          </w:p>
        </w:tc>
        <w:tc>
          <w:tcPr>
            <w:tcW w:w="1269" w:type="dxa"/>
            <w:tcBorders>
              <w:top w:val="double" w:color="auto" w:sz="4" w:space="0"/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沉船艘数</w:t>
            </w:r>
          </w:p>
        </w:tc>
        <w:tc>
          <w:tcPr>
            <w:tcW w:w="1976" w:type="dxa"/>
            <w:tcBorders>
              <w:top w:val="double" w:color="auto" w:sz="4" w:space="0"/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经济损失(万元)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vMerge w:val="restart"/>
            <w:shd w:val="clear" w:color="auto" w:fill="DAEEF3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运输船舶事故</w:t>
            </w:r>
          </w:p>
        </w:tc>
        <w:tc>
          <w:tcPr>
            <w:tcW w:w="1976" w:type="dxa"/>
            <w:tcBorders>
              <w:top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2019年第四季度</w:t>
            </w:r>
          </w:p>
        </w:tc>
        <w:tc>
          <w:tcPr>
            <w:tcW w:w="1411" w:type="dxa"/>
            <w:tcBorders>
              <w:top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2.5</w:t>
            </w:r>
          </w:p>
        </w:tc>
        <w:tc>
          <w:tcPr>
            <w:tcW w:w="1412" w:type="dxa"/>
            <w:tcBorders>
              <w:top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1269" w:type="dxa"/>
            <w:tcBorders>
              <w:top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976" w:type="dxa"/>
            <w:tcBorders>
              <w:top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350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vMerge w:val="continue"/>
            <w:shd w:val="clear" w:color="auto" w:fill="DAEEF3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976" w:type="dxa"/>
            <w:shd w:val="clear" w:color="auto" w:fill="DAEEF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2018年第四季度</w:t>
            </w:r>
          </w:p>
        </w:tc>
        <w:tc>
          <w:tcPr>
            <w:tcW w:w="1411" w:type="dxa"/>
            <w:shd w:val="clear" w:color="auto" w:fill="DAEEF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4.5</w:t>
            </w:r>
          </w:p>
        </w:tc>
        <w:tc>
          <w:tcPr>
            <w:tcW w:w="1412" w:type="dxa"/>
            <w:shd w:val="clear" w:color="auto" w:fill="DAEEF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269" w:type="dxa"/>
            <w:shd w:val="clear" w:color="auto" w:fill="DAEEF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976" w:type="dxa"/>
            <w:shd w:val="clear" w:color="auto" w:fill="DAEEF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vMerge w:val="continue"/>
            <w:tcBorders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976" w:type="dxa"/>
            <w:tcBorders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同  比（％）</w:t>
            </w:r>
          </w:p>
        </w:tc>
        <w:tc>
          <w:tcPr>
            <w:tcW w:w="1411" w:type="dxa"/>
            <w:tcBorders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-44.4</w:t>
            </w:r>
          </w:p>
        </w:tc>
        <w:tc>
          <w:tcPr>
            <w:tcW w:w="1412" w:type="dxa"/>
            <w:tcBorders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+300</w:t>
            </w:r>
          </w:p>
        </w:tc>
        <w:tc>
          <w:tcPr>
            <w:tcW w:w="1269" w:type="dxa"/>
            <w:tcBorders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-25</w:t>
            </w:r>
          </w:p>
        </w:tc>
        <w:tc>
          <w:tcPr>
            <w:tcW w:w="1976" w:type="dxa"/>
            <w:tcBorders>
              <w:bottom w:val="doub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-76.9</w:t>
            </w:r>
          </w:p>
        </w:tc>
      </w:tr>
    </w:tbl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图十二：运输船舶一般等级及以上事故四项指标对比图</w:t>
      </w:r>
    </w:p>
    <w:p>
      <w:pPr>
        <w:jc w:val="center"/>
        <w:rPr>
          <w:rFonts w:ascii="宋体" w:hAnsi="宋体"/>
          <w:sz w:val="28"/>
        </w:rPr>
      </w:pPr>
      <w:r>
        <w:rPr>
          <w:rFonts w:ascii="宋体" w:hAnsi="宋体"/>
          <w:sz w:val="28"/>
        </w:rPr>
        <w:drawing>
          <wp:inline distT="0" distB="0" distL="0" distR="0">
            <wp:extent cx="5715000" cy="2108200"/>
            <wp:effectExtent l="19050" t="0" r="19050" b="6350"/>
            <wp:docPr id="17" name="对象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 3、非运输船舶一般等级及以上事故四项指标同比“</w:t>
      </w:r>
      <w:r>
        <w:rPr>
          <w:rFonts w:hint="eastAsia" w:ascii="仿宋_GB2312" w:hAnsi="宋体" w:eastAsia="仿宋_GB2312" w:cs="Arial"/>
          <w:b/>
          <w:sz w:val="32"/>
          <w:szCs w:val="32"/>
        </w:rPr>
        <w:t>两升一降一持平</w:t>
      </w:r>
      <w:r>
        <w:rPr>
          <w:rFonts w:hint="eastAsia" w:ascii="仿宋_GB2312" w:hAnsi="宋体" w:eastAsia="仿宋_GB2312"/>
          <w:b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。分别为事故件数0.5件、同比下降66.7%；死亡失踪人数0人、同比持平；沉船1艘、同比增加1艘；直接经济损失500万元、同比上升5456%。（详见表十三）</w:t>
      </w:r>
    </w:p>
    <w:p>
      <w:pPr>
        <w:widowControl/>
        <w:spacing w:before="30" w:line="420" w:lineRule="atLeast"/>
        <w:ind w:left="1" w:firstLine="54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24"/>
          <w:szCs w:val="24"/>
        </w:rPr>
        <w:t>表十三：非运输船舶</w:t>
      </w:r>
      <w:r>
        <w:rPr>
          <w:rFonts w:hint="eastAsia" w:ascii="仿宋_GB2312" w:hAnsi="宋体" w:eastAsia="仿宋_GB2312" w:cs="Arial"/>
          <w:b/>
          <w:sz w:val="24"/>
          <w:szCs w:val="24"/>
        </w:rPr>
        <w:t>一般等级及以上事故四项指标统计表</w:t>
      </w:r>
    </w:p>
    <w:tbl>
      <w:tblPr>
        <w:tblStyle w:val="10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single" w:color="auto" w:sz="6" w:space="0"/>
        </w:tblBorders>
        <w:shd w:val="clear" w:color="auto" w:fill="D6E3B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832"/>
        <w:gridCol w:w="1318"/>
        <w:gridCol w:w="1179"/>
        <w:gridCol w:w="1366"/>
        <w:gridCol w:w="2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6" w:space="0"/>
          </w:tblBorders>
          <w:shd w:val="clear" w:color="auto" w:fill="D6E3B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49" w:type="dxa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统计期</w:t>
            </w:r>
          </w:p>
        </w:tc>
        <w:tc>
          <w:tcPr>
            <w:tcW w:w="1318" w:type="dxa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事故件数</w:t>
            </w:r>
          </w:p>
        </w:tc>
        <w:tc>
          <w:tcPr>
            <w:tcW w:w="1179" w:type="dxa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死亡失踪</w:t>
            </w:r>
          </w:p>
        </w:tc>
        <w:tc>
          <w:tcPr>
            <w:tcW w:w="1366" w:type="dxa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沉船艘数</w:t>
            </w:r>
          </w:p>
        </w:tc>
        <w:tc>
          <w:tcPr>
            <w:tcW w:w="2004" w:type="dxa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经济损失(万元)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49" w:type="dxa"/>
            <w:vMerge w:val="restart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非运输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船事故</w:t>
            </w:r>
          </w:p>
        </w:tc>
        <w:tc>
          <w:tcPr>
            <w:tcW w:w="1832" w:type="dxa"/>
            <w:shd w:val="clear" w:color="auto" w:fill="D6E3B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2019年第四季度</w:t>
            </w:r>
          </w:p>
        </w:tc>
        <w:tc>
          <w:tcPr>
            <w:tcW w:w="1318" w:type="dxa"/>
            <w:shd w:val="clear" w:color="auto" w:fill="D6E3BC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0.5</w:t>
            </w:r>
          </w:p>
        </w:tc>
        <w:tc>
          <w:tcPr>
            <w:tcW w:w="1179" w:type="dxa"/>
            <w:shd w:val="clear" w:color="auto" w:fill="D6E3BC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1366" w:type="dxa"/>
            <w:shd w:val="clear" w:color="auto" w:fill="D6E3BC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2004" w:type="dxa"/>
            <w:shd w:val="clear" w:color="auto" w:fill="D6E3BC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49" w:type="dxa"/>
            <w:vMerge w:val="continue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6E3B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2018年第四季度</w:t>
            </w:r>
          </w:p>
        </w:tc>
        <w:tc>
          <w:tcPr>
            <w:tcW w:w="1318" w:type="dxa"/>
            <w:shd w:val="clear" w:color="auto" w:fill="D6E3BC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1.5</w:t>
            </w:r>
          </w:p>
        </w:tc>
        <w:tc>
          <w:tcPr>
            <w:tcW w:w="1179" w:type="dxa"/>
            <w:shd w:val="clear" w:color="auto" w:fill="D6E3BC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1366" w:type="dxa"/>
            <w:shd w:val="clear" w:color="auto" w:fill="D6E3BC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2004" w:type="dxa"/>
            <w:shd w:val="clear" w:color="auto" w:fill="D6E3BC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49" w:type="dxa"/>
            <w:vMerge w:val="continue"/>
            <w:shd w:val="clear" w:color="auto" w:fill="D6E3B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6E3B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同  比（％）</w:t>
            </w:r>
          </w:p>
        </w:tc>
        <w:tc>
          <w:tcPr>
            <w:tcW w:w="1318" w:type="dxa"/>
            <w:shd w:val="clear" w:color="auto" w:fill="D6E3BC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-66.7</w:t>
            </w:r>
          </w:p>
        </w:tc>
        <w:tc>
          <w:tcPr>
            <w:tcW w:w="1179" w:type="dxa"/>
            <w:shd w:val="clear" w:color="auto" w:fill="D6E3BC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/</w:t>
            </w:r>
          </w:p>
        </w:tc>
        <w:tc>
          <w:tcPr>
            <w:tcW w:w="1366" w:type="dxa"/>
            <w:shd w:val="clear" w:color="auto" w:fill="D6E3BC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1:0</w:t>
            </w:r>
          </w:p>
        </w:tc>
        <w:tc>
          <w:tcPr>
            <w:tcW w:w="2004" w:type="dxa"/>
            <w:shd w:val="clear" w:color="auto" w:fill="D6E3BC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+5456</w:t>
            </w:r>
          </w:p>
        </w:tc>
      </w:tr>
    </w:tbl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4、</w:t>
      </w:r>
      <w:r>
        <w:rPr>
          <w:rFonts w:hint="eastAsia" w:ascii="仿宋_GB2312" w:eastAsia="仿宋_GB2312"/>
          <w:b/>
          <w:sz w:val="32"/>
          <w:szCs w:val="32"/>
        </w:rPr>
        <w:t>辖区死亡失踪3人及以上的较大、重特大事故统计。辖区死亡失踪3人及以上的较大、重特大事故统计。</w:t>
      </w:r>
      <w:r>
        <w:rPr>
          <w:rFonts w:hint="eastAsia" w:ascii="仿宋_GB2312" w:eastAsia="仿宋_GB2312"/>
          <w:sz w:val="32"/>
          <w:szCs w:val="32"/>
        </w:rPr>
        <w:t>第四季度，我局辖区发生死亡失踪3人及以上水上交通事故2件，较大等级碰撞、触碰事故各1件，死亡失踪8人。1-12月份，我局辖区发生死亡失踪3人及以上水上交通事故7件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其中较大等级商渔船碰撞事故4件、商船之间碰撞事故2件、商船触碰事故1件；死亡失踪34人，其中商船人员死亡失踪24人、渔船人员死亡失踪10人。</w:t>
      </w:r>
    </w:p>
    <w:p>
      <w:pPr>
        <w:spacing w:line="360" w:lineRule="auto"/>
        <w:ind w:firstLine="643" w:firstLineChars="200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Arial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sz w:val="32"/>
          <w:szCs w:val="32"/>
        </w:rPr>
        <w:t>第四季度</w:t>
      </w:r>
      <w:r>
        <w:rPr>
          <w:rFonts w:hint="eastAsia" w:ascii="仿宋_GB2312" w:hAnsi="宋体" w:eastAsia="仿宋_GB2312" w:cs="Arial"/>
          <w:b/>
          <w:sz w:val="32"/>
          <w:szCs w:val="32"/>
        </w:rPr>
        <w:t>各分支局辖区事故统计。</w:t>
      </w:r>
      <w:r>
        <w:rPr>
          <w:rFonts w:hint="eastAsia" w:ascii="仿宋_GB2312" w:hAnsi="Times New Roman" w:eastAsia="仿宋_GB2312"/>
          <w:sz w:val="32"/>
          <w:szCs w:val="32"/>
        </w:rPr>
        <w:t>（详见表十四、图十三）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1）</w:t>
      </w:r>
      <w:r>
        <w:rPr>
          <w:rFonts w:hint="eastAsia" w:ascii="仿宋_GB2312" w:eastAsia="仿宋_GB2312"/>
          <w:b/>
          <w:sz w:val="32"/>
          <w:szCs w:val="32"/>
        </w:rPr>
        <w:t>宁波辖区</w:t>
      </w:r>
      <w:r>
        <w:rPr>
          <w:rFonts w:hint="eastAsia" w:ascii="仿宋_GB2312" w:hAnsi="宋体" w:eastAsia="仿宋_GB2312"/>
          <w:sz w:val="32"/>
          <w:szCs w:val="32"/>
        </w:rPr>
        <w:t>第四季度</w:t>
      </w:r>
      <w:r>
        <w:rPr>
          <w:rFonts w:hint="eastAsia" w:ascii="仿宋_GB2312" w:eastAsia="仿宋_GB2312"/>
          <w:sz w:val="32"/>
          <w:szCs w:val="32"/>
        </w:rPr>
        <w:t>发生一般等级及以上事故2件（较大、一般事故各1件）</w:t>
      </w:r>
      <w:r>
        <w:rPr>
          <w:rFonts w:hint="eastAsia" w:ascii="仿宋_GB2312" w:hAnsi="宋体" w:eastAsia="仿宋_GB2312"/>
          <w:sz w:val="32"/>
          <w:szCs w:val="32"/>
        </w:rPr>
        <w:t>。四项指标同比“三升一持平”，分别为事故件数持平，死亡失踪人数增加3人、上升300%，沉船艘数增加2艘、上升200%和直接经济增加240万元、上升47.1%。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2）</w:t>
      </w:r>
      <w:r>
        <w:rPr>
          <w:rFonts w:hint="eastAsia" w:ascii="仿宋_GB2312" w:eastAsia="仿宋_GB2312"/>
          <w:b/>
          <w:sz w:val="32"/>
          <w:szCs w:val="32"/>
        </w:rPr>
        <w:t>舟山辖区</w:t>
      </w:r>
      <w:r>
        <w:rPr>
          <w:rFonts w:hint="eastAsia" w:ascii="仿宋_GB2312" w:hAnsi="宋体" w:eastAsia="仿宋_GB2312"/>
          <w:sz w:val="32"/>
          <w:szCs w:val="32"/>
        </w:rPr>
        <w:t>第四季度未发生一般</w:t>
      </w:r>
      <w:r>
        <w:rPr>
          <w:rFonts w:hint="eastAsia" w:ascii="仿宋_GB2312" w:eastAsia="仿宋_GB2312"/>
          <w:sz w:val="32"/>
          <w:szCs w:val="32"/>
        </w:rPr>
        <w:t>等级及以上事故，四项指标同比“全面下降”，</w:t>
      </w:r>
      <w:r>
        <w:rPr>
          <w:rFonts w:hint="eastAsia" w:ascii="仿宋_GB2312" w:hAnsi="宋体" w:eastAsia="仿宋_GB2312"/>
          <w:sz w:val="32"/>
          <w:szCs w:val="32"/>
        </w:rPr>
        <w:t>分别为事故件数减少3件，死亡失踪人数减少1人，沉船艘数减少3艘，直接经济减少864万元。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3）</w:t>
      </w:r>
      <w:r>
        <w:rPr>
          <w:rFonts w:hint="eastAsia" w:ascii="仿宋_GB2312" w:eastAsia="仿宋_GB2312"/>
          <w:b/>
          <w:sz w:val="32"/>
          <w:szCs w:val="32"/>
        </w:rPr>
        <w:t>温州辖区</w:t>
      </w:r>
      <w:r>
        <w:rPr>
          <w:rFonts w:hint="eastAsia" w:ascii="仿宋_GB2312" w:eastAsia="仿宋_GB2312"/>
          <w:sz w:val="32"/>
          <w:szCs w:val="32"/>
        </w:rPr>
        <w:t>第四季度发生</w:t>
      </w:r>
      <w:r>
        <w:rPr>
          <w:rFonts w:hint="eastAsia" w:ascii="仿宋_GB2312" w:hAnsi="宋体" w:eastAsia="仿宋_GB2312"/>
          <w:sz w:val="32"/>
          <w:szCs w:val="32"/>
        </w:rPr>
        <w:t>一般等级及以上事故1件，四项指标同比“全面上升”，分别为事故件数增加1件，死亡失踪人数增加4人，沉船增加1艘和直接经济增加100万元。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4）</w:t>
      </w:r>
      <w:r>
        <w:rPr>
          <w:rFonts w:hint="eastAsia" w:ascii="仿宋_GB2312" w:eastAsia="仿宋_GB2312"/>
          <w:b/>
          <w:sz w:val="32"/>
          <w:szCs w:val="32"/>
        </w:rPr>
        <w:t>台州辖区</w:t>
      </w:r>
      <w:r>
        <w:rPr>
          <w:rFonts w:hint="eastAsia" w:ascii="仿宋_GB2312" w:eastAsia="仿宋_GB2312"/>
          <w:sz w:val="32"/>
          <w:szCs w:val="32"/>
        </w:rPr>
        <w:t>第四季度未发生一般等级及以上事故，去年同期也未发生一般等级及以上事故。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5）</w:t>
      </w:r>
      <w:r>
        <w:rPr>
          <w:rFonts w:hint="eastAsia" w:ascii="仿宋_GB2312" w:eastAsia="仿宋_GB2312"/>
          <w:b/>
          <w:sz w:val="32"/>
          <w:szCs w:val="32"/>
        </w:rPr>
        <w:t>嘉兴辖区</w:t>
      </w:r>
      <w:r>
        <w:rPr>
          <w:rFonts w:hint="eastAsia" w:ascii="仿宋_GB2312" w:eastAsia="仿宋_GB2312"/>
          <w:sz w:val="32"/>
          <w:szCs w:val="32"/>
        </w:rPr>
        <w:t>未</w:t>
      </w:r>
      <w:bookmarkStart w:id="3" w:name="OLE_LINK11"/>
      <w:r>
        <w:rPr>
          <w:rFonts w:hint="eastAsia" w:ascii="仿宋_GB2312" w:eastAsia="仿宋_GB2312"/>
          <w:sz w:val="32"/>
          <w:szCs w:val="32"/>
        </w:rPr>
        <w:t>发生一般等级及以上事故</w:t>
      </w:r>
      <w:bookmarkEnd w:id="3"/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分别为事故件数减少1件，直接经济减少155万元。均为造成人员死亡失踪和沉船沉没。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6）</w:t>
      </w:r>
      <w:r>
        <w:rPr>
          <w:rFonts w:hint="eastAsia" w:ascii="仿宋_GB2312" w:eastAsia="仿宋_GB2312"/>
          <w:b/>
          <w:sz w:val="32"/>
          <w:szCs w:val="32"/>
        </w:rPr>
        <w:t>杭州辖区</w:t>
      </w:r>
      <w:r>
        <w:rPr>
          <w:rFonts w:hint="eastAsia" w:ascii="仿宋_GB2312" w:eastAsia="仿宋_GB2312"/>
          <w:sz w:val="32"/>
          <w:szCs w:val="32"/>
        </w:rPr>
        <w:t>未发生一般等级及以上事故，去年同期也未发生一般等级及以上事故。</w:t>
      </w:r>
    </w:p>
    <w:p>
      <w:pPr>
        <w:spacing w:beforeLines="50" w:afterLines="50" w:line="360" w:lineRule="auto"/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表十四：2019年第四季度各分支局辖区一般等级及以上事故分布统计</w:t>
      </w:r>
    </w:p>
    <w:tbl>
      <w:tblPr>
        <w:tblStyle w:val="10"/>
        <w:tblW w:w="9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674"/>
        <w:gridCol w:w="659"/>
        <w:gridCol w:w="715"/>
        <w:gridCol w:w="765"/>
        <w:gridCol w:w="851"/>
        <w:gridCol w:w="722"/>
        <w:gridCol w:w="882"/>
        <w:gridCol w:w="620"/>
        <w:gridCol w:w="848"/>
        <w:gridCol w:w="905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82" w:type="dxa"/>
            <w:vMerge w:val="restart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2019年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第四季度</w:t>
            </w:r>
          </w:p>
        </w:tc>
        <w:tc>
          <w:tcPr>
            <w:tcW w:w="674" w:type="dxa"/>
            <w:vMerge w:val="restart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重大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事故</w:t>
            </w:r>
          </w:p>
        </w:tc>
        <w:tc>
          <w:tcPr>
            <w:tcW w:w="659" w:type="dxa"/>
            <w:vMerge w:val="restart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较大事故</w:t>
            </w:r>
          </w:p>
        </w:tc>
        <w:tc>
          <w:tcPr>
            <w:tcW w:w="715" w:type="dxa"/>
            <w:vMerge w:val="restart"/>
            <w:shd w:val="clear" w:color="auto" w:fill="FFCC99"/>
            <w:vAlign w:val="center"/>
          </w:tcPr>
          <w:p>
            <w:pPr>
              <w:ind w:left="120" w:leftChars="5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一般等级</w:t>
            </w:r>
          </w:p>
        </w:tc>
        <w:tc>
          <w:tcPr>
            <w:tcW w:w="1616" w:type="dxa"/>
            <w:gridSpan w:val="2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一般等级及以上</w:t>
            </w:r>
          </w:p>
        </w:tc>
        <w:tc>
          <w:tcPr>
            <w:tcW w:w="1604" w:type="dxa"/>
            <w:gridSpan w:val="2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死亡失踪人数</w:t>
            </w:r>
          </w:p>
        </w:tc>
        <w:tc>
          <w:tcPr>
            <w:tcW w:w="1467" w:type="dxa"/>
            <w:gridSpan w:val="2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沉船艘次</w:t>
            </w:r>
          </w:p>
        </w:tc>
        <w:tc>
          <w:tcPr>
            <w:tcW w:w="1924" w:type="dxa"/>
            <w:gridSpan w:val="2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经济损失（万元）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282" w:type="dxa"/>
            <w:vMerge w:val="continue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4" w:type="dxa"/>
            <w:vMerge w:val="continue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9" w:type="dxa"/>
            <w:vMerge w:val="continue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shd w:val="clear" w:color="auto" w:fill="FFCC99"/>
            <w:vAlign w:val="center"/>
          </w:tcPr>
          <w:p>
            <w:pPr>
              <w:ind w:left="120" w:leftChars="5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总数</w:t>
            </w:r>
          </w:p>
        </w:tc>
        <w:tc>
          <w:tcPr>
            <w:tcW w:w="851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运输船</w:t>
            </w:r>
          </w:p>
        </w:tc>
        <w:tc>
          <w:tcPr>
            <w:tcW w:w="722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总数</w:t>
            </w:r>
          </w:p>
        </w:tc>
        <w:tc>
          <w:tcPr>
            <w:tcW w:w="882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运输船</w:t>
            </w:r>
          </w:p>
        </w:tc>
        <w:tc>
          <w:tcPr>
            <w:tcW w:w="620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总数</w:t>
            </w:r>
          </w:p>
        </w:tc>
        <w:tc>
          <w:tcPr>
            <w:tcW w:w="848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运输船</w:t>
            </w:r>
          </w:p>
        </w:tc>
        <w:tc>
          <w:tcPr>
            <w:tcW w:w="905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总数</w:t>
            </w:r>
          </w:p>
        </w:tc>
        <w:tc>
          <w:tcPr>
            <w:tcW w:w="1019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运输船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282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宁波海事局</w:t>
            </w:r>
          </w:p>
        </w:tc>
        <w:tc>
          <w:tcPr>
            <w:tcW w:w="674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59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</w:t>
            </w:r>
          </w:p>
        </w:tc>
        <w:tc>
          <w:tcPr>
            <w:tcW w:w="715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</w:t>
            </w:r>
          </w:p>
        </w:tc>
        <w:tc>
          <w:tcPr>
            <w:tcW w:w="765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2</w:t>
            </w:r>
          </w:p>
        </w:tc>
        <w:tc>
          <w:tcPr>
            <w:tcW w:w="851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1.5</w:t>
            </w:r>
          </w:p>
        </w:tc>
        <w:tc>
          <w:tcPr>
            <w:tcW w:w="722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4</w:t>
            </w:r>
          </w:p>
        </w:tc>
        <w:tc>
          <w:tcPr>
            <w:tcW w:w="882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4</w:t>
            </w:r>
          </w:p>
        </w:tc>
        <w:tc>
          <w:tcPr>
            <w:tcW w:w="620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3</w:t>
            </w:r>
          </w:p>
        </w:tc>
        <w:tc>
          <w:tcPr>
            <w:tcW w:w="848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2</w:t>
            </w:r>
          </w:p>
        </w:tc>
        <w:tc>
          <w:tcPr>
            <w:tcW w:w="905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750</w:t>
            </w:r>
          </w:p>
        </w:tc>
        <w:tc>
          <w:tcPr>
            <w:tcW w:w="1019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282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舟山海事局</w:t>
            </w:r>
          </w:p>
        </w:tc>
        <w:tc>
          <w:tcPr>
            <w:tcW w:w="674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59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15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65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51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22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82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20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48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905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1019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1282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温州海事局</w:t>
            </w:r>
          </w:p>
        </w:tc>
        <w:tc>
          <w:tcPr>
            <w:tcW w:w="674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59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</w:t>
            </w:r>
          </w:p>
        </w:tc>
        <w:tc>
          <w:tcPr>
            <w:tcW w:w="715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65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</w:t>
            </w:r>
          </w:p>
        </w:tc>
        <w:tc>
          <w:tcPr>
            <w:tcW w:w="851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</w:t>
            </w:r>
          </w:p>
        </w:tc>
        <w:tc>
          <w:tcPr>
            <w:tcW w:w="722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4</w:t>
            </w:r>
          </w:p>
        </w:tc>
        <w:tc>
          <w:tcPr>
            <w:tcW w:w="882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4</w:t>
            </w:r>
          </w:p>
        </w:tc>
        <w:tc>
          <w:tcPr>
            <w:tcW w:w="620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</w:t>
            </w:r>
          </w:p>
        </w:tc>
        <w:tc>
          <w:tcPr>
            <w:tcW w:w="848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</w:t>
            </w:r>
          </w:p>
        </w:tc>
        <w:tc>
          <w:tcPr>
            <w:tcW w:w="905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100</w:t>
            </w:r>
          </w:p>
        </w:tc>
        <w:tc>
          <w:tcPr>
            <w:tcW w:w="1019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1282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台州海事局</w:t>
            </w:r>
          </w:p>
        </w:tc>
        <w:tc>
          <w:tcPr>
            <w:tcW w:w="674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59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15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65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51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22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82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20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48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905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1019" w:type="dxa"/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282" w:type="dxa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嘉兴海事局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59" w:type="dxa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15" w:type="dxa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65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22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82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20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48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905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1019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282" w:type="dxa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杭州海事局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59" w:type="dxa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15" w:type="dxa"/>
            <w:tcBorders>
              <w:bottom w:val="single" w:color="auto" w:sz="4" w:space="0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65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722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82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620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848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905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  <w:tc>
          <w:tcPr>
            <w:tcW w:w="1019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color w:val="0000FF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282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  计</w:t>
            </w:r>
          </w:p>
        </w:tc>
        <w:tc>
          <w:tcPr>
            <w:tcW w:w="674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659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</w:t>
            </w:r>
          </w:p>
        </w:tc>
        <w:tc>
          <w:tcPr>
            <w:tcW w:w="715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</w:t>
            </w:r>
          </w:p>
        </w:tc>
        <w:tc>
          <w:tcPr>
            <w:tcW w:w="765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</w:t>
            </w:r>
          </w:p>
        </w:tc>
        <w:tc>
          <w:tcPr>
            <w:tcW w:w="851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2.5</w:t>
            </w:r>
          </w:p>
        </w:tc>
        <w:tc>
          <w:tcPr>
            <w:tcW w:w="722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</w:t>
            </w:r>
          </w:p>
        </w:tc>
        <w:tc>
          <w:tcPr>
            <w:tcW w:w="882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</w:t>
            </w:r>
          </w:p>
        </w:tc>
        <w:tc>
          <w:tcPr>
            <w:tcW w:w="620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</w:t>
            </w:r>
          </w:p>
        </w:tc>
        <w:tc>
          <w:tcPr>
            <w:tcW w:w="848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</w:t>
            </w:r>
          </w:p>
        </w:tc>
        <w:tc>
          <w:tcPr>
            <w:tcW w:w="905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850</w:t>
            </w:r>
          </w:p>
        </w:tc>
        <w:tc>
          <w:tcPr>
            <w:tcW w:w="1019" w:type="dxa"/>
            <w:shd w:val="clear" w:color="auto" w:fill="FFCC9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350</w:t>
            </w:r>
          </w:p>
        </w:tc>
      </w:tr>
    </w:tbl>
    <w:p>
      <w:pPr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图十三：2019年第四季度各分支局辖区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一般等级及以上</w:t>
      </w:r>
      <w:r>
        <w:rPr>
          <w:rFonts w:hint="eastAsia" w:ascii="仿宋_GB2312" w:hAnsi="宋体" w:eastAsia="仿宋_GB2312"/>
          <w:b/>
          <w:sz w:val="24"/>
          <w:szCs w:val="24"/>
        </w:rPr>
        <w:t>事故四项指标</w:t>
      </w: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126365</wp:posOffset>
            </wp:positionV>
            <wp:extent cx="5581015" cy="2393315"/>
            <wp:effectExtent l="19050" t="0" r="19685" b="6985"/>
            <wp:wrapNone/>
            <wp:docPr id="23" name="对象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 xml:space="preserve">   </w:t>
      </w: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 xml:space="preserve"> 7、一般等级及以上事故等级与种类统计</w:t>
      </w:r>
      <w:r>
        <w:rPr>
          <w:rFonts w:hint="eastAsia" w:ascii="仿宋_GB2312" w:hAnsi="宋体" w:eastAsia="仿宋_GB2312"/>
          <w:b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第四季度辖区共发生一般等级及以上事故3件，其中较大等级事故2件、一般等级事故1件，共涉及2个事故种类，其中碰撞事故2件、占事故总数的66.7%、同比事故件数减少3件、下降60%、占比减少16.7个百分点，造成死亡失踪4人、占第四季度度死亡失踪总人数的50%、同比增加3人、上升300%、占比持平，沉船3艘、占沉船总艘数的75%、同比减少1艘、下降25%、占比减少25个百分点；触碰事故1件，死亡失踪4人、沉船1艘；未发生自沉、触礁及其他类等事故。（详见表十五、图十四）</w:t>
      </w:r>
    </w:p>
    <w:p>
      <w:pPr>
        <w:ind w:firstLine="472" w:firstLineChars="196"/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表十五：一般等级及以上事故种类分布统计</w:t>
      </w:r>
    </w:p>
    <w:tbl>
      <w:tblPr>
        <w:tblStyle w:val="10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5DFE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748"/>
        <w:gridCol w:w="1748"/>
        <w:gridCol w:w="174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DFEC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48" w:type="dxa"/>
            <w:shd w:val="clear" w:color="auto" w:fill="76923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2019年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第四季度</w:t>
            </w:r>
          </w:p>
        </w:tc>
        <w:tc>
          <w:tcPr>
            <w:tcW w:w="1748" w:type="dxa"/>
            <w:shd w:val="clear" w:color="auto" w:fill="76923C"/>
            <w:vAlign w:val="center"/>
          </w:tcPr>
          <w:p>
            <w:pPr>
              <w:ind w:firstLine="118" w:firstLineChars="49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事故件数</w:t>
            </w:r>
          </w:p>
        </w:tc>
        <w:tc>
          <w:tcPr>
            <w:tcW w:w="1748" w:type="dxa"/>
            <w:shd w:val="clear" w:color="auto" w:fill="76923C"/>
            <w:vAlign w:val="center"/>
          </w:tcPr>
          <w:p>
            <w:pPr>
              <w:ind w:firstLine="118" w:firstLineChars="49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死亡人数</w:t>
            </w:r>
          </w:p>
        </w:tc>
        <w:tc>
          <w:tcPr>
            <w:tcW w:w="1748" w:type="dxa"/>
            <w:shd w:val="clear" w:color="auto" w:fill="76923C"/>
            <w:vAlign w:val="center"/>
          </w:tcPr>
          <w:p>
            <w:pPr>
              <w:ind w:firstLine="236" w:firstLineChars="98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沉船艘数</w:t>
            </w:r>
          </w:p>
        </w:tc>
        <w:tc>
          <w:tcPr>
            <w:tcW w:w="1750" w:type="dxa"/>
            <w:shd w:val="clear" w:color="auto" w:fill="76923C"/>
            <w:vAlign w:val="center"/>
          </w:tcPr>
          <w:p>
            <w:pPr>
              <w:ind w:left="69" w:leftChars="33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直接经济损失（万元）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碰撞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自沉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50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触礁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50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触碰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火灾爆炸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48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50" w:type="dxa"/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48" w:type="dxa"/>
            <w:tcBorders>
              <w:bottom w:val="single" w:color="auto" w:sz="4" w:space="0"/>
            </w:tcBorders>
            <w:shd w:val="clear" w:color="auto" w:fill="E5DFE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其他类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bottom w:val="single" w:color="auto" w:sz="4" w:space="0"/>
            </w:tcBorders>
            <w:shd w:val="clear" w:color="auto" w:fill="E5DFE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48" w:type="dxa"/>
            <w:shd w:val="clear" w:color="auto" w:fill="76923C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合计</w:t>
            </w:r>
          </w:p>
        </w:tc>
        <w:tc>
          <w:tcPr>
            <w:tcW w:w="1748" w:type="dxa"/>
            <w:shd w:val="clear" w:color="auto" w:fill="76923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  <w:shd w:val="clear" w:color="auto" w:fill="76923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8</w:t>
            </w:r>
          </w:p>
        </w:tc>
        <w:tc>
          <w:tcPr>
            <w:tcW w:w="1748" w:type="dxa"/>
            <w:shd w:val="clear" w:color="auto" w:fill="76923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  <w:shd w:val="clear" w:color="auto" w:fill="76923C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850</w:t>
            </w:r>
          </w:p>
        </w:tc>
      </w:tr>
    </w:tbl>
    <w:p>
      <w:pPr>
        <w:spacing w:line="360" w:lineRule="auto"/>
        <w:ind w:firstLine="477" w:firstLineChars="198"/>
        <w:jc w:val="center"/>
        <w:rPr>
          <w:rFonts w:ascii="宋体" w:hAnsi="宋体"/>
          <w:sz w:val="28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图十四：一般等级及以上事故种类比例分布图</w:t>
      </w:r>
    </w:p>
    <w:p>
      <w:pPr>
        <w:spacing w:line="360" w:lineRule="auto"/>
        <w:ind w:firstLine="554" w:firstLineChars="198"/>
        <w:jc w:val="center"/>
        <w:rPr>
          <w:rFonts w:ascii="宋体" w:hAnsi="宋体" w:cs="Arial"/>
          <w:b/>
          <w:sz w:val="28"/>
          <w:szCs w:val="28"/>
        </w:rPr>
      </w:pPr>
      <w:r>
        <w:rPr>
          <w:rFonts w:ascii="宋体" w:hAnsi="宋体"/>
          <w:sz w:val="28"/>
        </w:rPr>
        <w:drawing>
          <wp:inline distT="0" distB="0" distL="0" distR="0">
            <wp:extent cx="4972050" cy="2390775"/>
            <wp:effectExtent l="19050" t="0" r="19050" b="0"/>
            <wp:docPr id="24" name="对象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>
      <w:pPr>
        <w:spacing w:line="360" w:lineRule="auto"/>
        <w:ind w:firstLine="469" w:firstLineChars="14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8、第四季度一般等级及以上事故占年度事故总数比例。</w:t>
      </w:r>
      <w:r>
        <w:rPr>
          <w:rFonts w:hint="eastAsia" w:ascii="仿宋_GB2312" w:hAnsi="宋体" w:eastAsia="仿宋_GB2312"/>
          <w:sz w:val="32"/>
          <w:szCs w:val="32"/>
        </w:rPr>
        <w:t>第四季度一般等级及以上事故3件，死亡失踪8人,沉船4艘,直接经济损失850万元，分别占年度事故四项指标的13%、17.8%、23.5%和15.3%，同比分别为上升50%、上升300%、持平和下降44.4%，所占年度事故指标比重与2018年同比分别减少4.3个百分点、增加14个百分点、增加6个百分点和减少3个百分点，水上交通安全形势基本稳定。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b/>
          <w:sz w:val="32"/>
          <w:szCs w:val="32"/>
        </w:rPr>
        <w:t>（三）</w:t>
      </w:r>
      <w:r>
        <w:rPr>
          <w:rFonts w:hint="eastAsia" w:ascii="仿宋_GB2312" w:eastAsia="仿宋_GB2312"/>
          <w:b/>
          <w:sz w:val="32"/>
          <w:szCs w:val="32"/>
        </w:rPr>
        <w:t>辖区外水域涉及浙江籍运输船舶水上交通事故概况</w:t>
      </w:r>
    </w:p>
    <w:p>
      <w:pPr>
        <w:spacing w:line="360" w:lineRule="auto"/>
        <w:ind w:firstLine="467" w:firstLineChars="1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季度浙江籍船舶在辖区外水域共发生水上交通事故12.5件（涉及17起事故），共涉及19艘浙江籍运输船舶。其中等级及以上事故3.5件（一般等级事故3件、较大等级事故0.5件），造成浙江籍船舶船上6人死亡，浙江籍运输船舶沉没4艘。</w:t>
      </w:r>
    </w:p>
    <w:p>
      <w:pPr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（四）浙江籍运输船舶事故情况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今年第四季度，浙江籍运输船舶共发生水上交通事故20.5件（小事故16.5件、一般等级事故3件、较大等级事故1件），辖区内8件（小事故7.5件、较大等级事故0.5件）、辖区外12.5件（小事故9件、一般等级事故3件、较大等级事故0.5件）。涉及30艘浙江籍船舶，辖区内浙江籍船舶11艘（体系内2艘、非体系9艘），辖区外浙江籍船舶19艘（体系内14艘、非体系5艘）。其中，浙江籍船舶船上人员死亡失踪10人、船舶沉没7艘。体系管理船舶发生事故10件（小事故8件、一般事故2件；其中发生在辖区内小事故1.5件，辖区外小事故6.5件），造成1人死亡失踪、1艘船舶沉没；非体系管理船舶发生事故10.5件（小事故8.5件、一般事故1件、较大事故1件；其中辖区内小事故6件、一般事故0件、较大事故0.5件；辖区外小事故2.5件、一般事故1件、较大事故0.5件），人员死亡失踪9人（辖区外5人、辖区内4人）、船舶沉没6艘（辖区内3艘，辖区外3艘）。</w:t>
      </w:r>
    </w:p>
    <w:p>
      <w:pPr>
        <w:spacing w:line="360" w:lineRule="auto"/>
        <w:ind w:firstLine="469" w:firstLineChars="146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（五）第四季度辖区一般等级及以上水上交通事故特点</w:t>
      </w:r>
    </w:p>
    <w:p>
      <w:pPr>
        <w:spacing w:line="360" w:lineRule="auto"/>
        <w:ind w:firstLine="469" w:firstLineChars="146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1、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第四季度水上交通事故总量稳中趋好，但死亡失踪人数增幅较大。</w:t>
      </w:r>
      <w:r>
        <w:rPr>
          <w:rFonts w:hint="eastAsia" w:ascii="仿宋_GB2312" w:hAnsi="仿宋" w:eastAsia="仿宋_GB2312"/>
          <w:bCs/>
          <w:sz w:val="32"/>
          <w:szCs w:val="32"/>
        </w:rPr>
        <w:t>2019年第四季度辖区</w:t>
      </w:r>
      <w:r>
        <w:rPr>
          <w:rFonts w:hint="eastAsia" w:ascii="仿宋_GB2312" w:eastAsia="仿宋_GB2312"/>
          <w:sz w:val="32"/>
          <w:szCs w:val="32"/>
        </w:rPr>
        <w:t>共发生水上交通28件，其中小事故25件，同比减少2件、下降7.4%。等级以上事故中，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10月份发生较大等级事故2件、11月份未发生一般等级及以上事故、12月份发生一般等级事故1件，四项指标“两降一升一持平”，分别为事故件数下降50%、死亡失踪人数上升300%、沉船艘数持平、直接经济损失下降44.4%，水上交通事故总量稳中趋好，但死亡失踪人数增幅较大。 </w:t>
      </w:r>
    </w:p>
    <w:p>
      <w:pPr>
        <w:spacing w:line="360" w:lineRule="auto"/>
        <w:ind w:firstLine="469" w:firstLineChars="146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2、等级以上“两船”</w:t>
      </w: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事故相对较多。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第四季度发生涉及“两船”事故12件、占事故总数的42.9%。其中，等级以上“两船”事故2件、占季度等级以上事故总数的66.7%，涉及3艘砂石运输船舶、占季度等级以上涉事船舶的60%。涉及内河船非法参与海上运输事故3件，涉及3艘</w:t>
      </w:r>
      <w:r>
        <w:rPr>
          <w:rFonts w:hint="eastAsia" w:ascii="仿宋_GB2312" w:eastAsia="仿宋_GB2312"/>
          <w:bCs/>
          <w:sz w:val="32"/>
          <w:szCs w:val="32"/>
        </w:rPr>
        <w:t>3000总吨以上的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内河船舶，</w:t>
      </w:r>
      <w:r>
        <w:rPr>
          <w:rFonts w:hint="eastAsia" w:ascii="仿宋_GB2312" w:eastAsia="仿宋_GB2312"/>
          <w:bCs/>
          <w:sz w:val="32"/>
          <w:szCs w:val="32"/>
        </w:rPr>
        <w:t>发生一般等级事故1件、船舶沉没1艘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rPr>
          <w:rFonts w:ascii="仿宋_GB2312" w:hAnsi="宋体" w:eastAsia="仿宋_GB2312" w:cs="Arial"/>
          <w:b/>
          <w:sz w:val="32"/>
          <w:szCs w:val="32"/>
        </w:rPr>
      </w:pPr>
    </w:p>
    <w:p>
      <w:pPr>
        <w:jc w:val="left"/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2019年</w:t>
      </w:r>
      <w:r>
        <w:rPr>
          <w:rFonts w:hint="eastAsia" w:ascii="仿宋_GB2312" w:hAnsi="宋体" w:eastAsia="仿宋_GB2312"/>
          <w:b/>
          <w:sz w:val="32"/>
          <w:szCs w:val="32"/>
        </w:rPr>
        <w:t>辖区人员死亡失踪事故</w:t>
      </w:r>
      <w:r>
        <w:rPr>
          <w:rFonts w:hint="eastAsia" w:ascii="仿宋_GB2312" w:hAnsi="宋体" w:eastAsia="仿宋_GB2312" w:cs="Arial"/>
          <w:b/>
          <w:sz w:val="32"/>
          <w:szCs w:val="32"/>
        </w:rPr>
        <w:t>案例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一、较大等级水上交通事故案例（6件）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2019年1月6日2138时左右，从宁波石浦港区创利石材岳井洋货运码头装载石粉900吨开往南通宁波捷海航运有限公司所有的“捷海189”轮在象山石浦港铜瓦门西侧0.45海里水域处（概位29°13′.0N/121°57′.0E）与从东海渔区返航石浦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浙江籍居民陈某个体所有的渔船“浙象渔47118”轮发生碰撞，事故造成“捷海189”轮沉没，船上5人中1人获救4人失踪，构成较大等级水上交通事故。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2、2019年2月23日1316时左右,装载6.7万吨煤炭从京唐驶往广州福建省海运集团有限责任公司所有的“东方盛”轮途经浙江象山渔山岛东北约26海里处（概位29°04′N/122°44′E）海域时与从象山石浦驶往东海渔区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象山籍渔船“浙象渔46102”轮发生碰撞，事故造成“浙象渔46102”轮沉没，船上7人中2获救、5人失踪，构成较大等级水上交通事故。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3、2019年3月20日2230时左右，装载约10000吨黄沙从福建沿海驶往江苏江阴武汉华美物流有限公司等所有的“华美天久”轮，</w:t>
      </w:r>
      <w:r>
        <w:rPr>
          <w:rFonts w:hint="eastAsia" w:ascii="仿宋_GB2312" w:eastAsia="仿宋_GB2312"/>
          <w:sz w:val="32"/>
          <w:szCs w:val="32"/>
          <w:lang w:eastAsia="zh-CN"/>
        </w:rPr>
        <w:t>途径</w:t>
      </w:r>
      <w:r>
        <w:rPr>
          <w:rFonts w:hint="eastAsia" w:ascii="仿宋_GB2312" w:eastAsia="仿宋_GB2312"/>
          <w:sz w:val="32"/>
          <w:szCs w:val="32"/>
        </w:rPr>
        <w:t>象山沿海（概位29°34.091′N/122°25.548′E）与杂货船“JISONG 15”轮发生碰撞，事故造成“华美天久”破损进水后沉没，5人落水其中2人获救，1人死亡，2人失踪，构成较大等级水上交通事故。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4、2019年4月9日0322时左右，装载石子3300吨从福建宁德驶往浙江嘉兴温岭市兴海航运有限公司经营的“浙兴航87”轮航行至舟山沈家门桃花岛东南侧约9海里处水域（概位：29°44′.5N/122°29′.1E）时与东海装载鱼获</w:t>
      </w:r>
      <w:r>
        <w:rPr>
          <w:rFonts w:hint="eastAsia" w:ascii="仿宋_GB2312" w:eastAsia="仿宋_GB2312"/>
          <w:sz w:val="32"/>
          <w:szCs w:val="32"/>
          <w:lang w:eastAsia="zh-CN"/>
        </w:rPr>
        <w:t>回港的</w:t>
      </w:r>
      <w:r>
        <w:rPr>
          <w:rFonts w:hint="eastAsia" w:ascii="仿宋_GB2312" w:eastAsia="仿宋_GB2312"/>
          <w:sz w:val="32"/>
          <w:szCs w:val="32"/>
        </w:rPr>
        <w:t>舟山籍渔船“浙嵊渔冷80002”轮发生碰撞，事故造成“浙嵊渔冷80002”轮沉没，船上10人中5人被救起、5人下落不明，构成较大等级水上交通事故。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5、2019年9月23日0416时左右，</w:t>
      </w:r>
      <w:r>
        <w:rPr>
          <w:rFonts w:hint="eastAsia" w:ascii="仿宋_GB2312" w:eastAsia="仿宋_GB2312"/>
          <w:sz w:val="32"/>
          <w:szCs w:val="32"/>
          <w:lang w:eastAsia="zh-CN"/>
        </w:rPr>
        <w:t>出海作业的</w:t>
      </w:r>
      <w:r>
        <w:rPr>
          <w:rFonts w:hint="eastAsia" w:ascii="仿宋_GB2312" w:eastAsia="仿宋_GB2312"/>
          <w:sz w:val="32"/>
          <w:szCs w:val="32"/>
        </w:rPr>
        <w:t>岱山籍渔船“浙岱渔11498”轮在航经衢山以东约1.5海里处水域（概位：30°25.75′N/122°15.17′E）时与在该水域锚泊的杂货船“KUM HAE”轮发生碰撞，事故造成“KUM HAE”轮沉没，船上13人中，4人获救、9人下落不明，构成较大等级水上交通事故。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6、2019年10月3日0942时许，满载石料从瑞安凤凰山石料场驶往飞云江一期治理工程七标段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芜湖海顺航运有限公司等所属的“海阳16”轮航经甬台温铁路飞云江大桥时触碰大桥出港通航孔桥墩承台，造成船舶破损进水翻沉，船上5人，其中1人获救，2人死亡2人失踪，构成较大等级水上交通事故。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7、2019年10月31日2255时左右，从宁波驶往上海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巴拿马籍集装箱船“WISDOM GRACE”轮在宁波舟山港4号警戒区附近涂泥咀前沿水域（概位：121°58′08.59″E 29°57′31.18″N）与由峙头装载黄沙270吨开往鄞奉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全某所有的宁波籍干货船“鄞通顺227”轮发生碰撞，事故造成“鄞通顺227”轮沉没，4名船员失踪，构成较大等级水上交通事故。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二、一般等级事故案例（8件）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1、2019年1月11日0122时左右，由福州驶往温州鳌江的福建籍内河船“海润5588”轮与无名小油船在鳌江口五号浮附近发生碰撞事故，造成涉嫌走私无名小油船沉没，1人死亡，构成一般等级事故。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2019年1月14日1930时左右，安徽昌汇运贸有限公司所经营的采砂船“汇通2号”轮在宁波舟山港洋小猫水域（概位29°52′.512N/122°10′.171E）采砂作业期间，3名人员乘坐交通艇处理吸砂管堵塞的过程中发生侧翻，2名人员落水，其中1名人员被救起、1名人员失踪，构成一般等级事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3、2019年2月22日0600时左右，装载1981吨石料从象山开往舟山册子岛安庆籍干货船“凯旋工999”轮在航行途中发现船舶空气舱进水，改港到宁波穿山龙佰石场码头抢卸</w:t>
      </w:r>
      <w:r>
        <w:rPr>
          <w:rFonts w:hint="eastAsia" w:ascii="仿宋_GB2312" w:eastAsia="仿宋_GB2312"/>
          <w:sz w:val="32"/>
          <w:szCs w:val="32"/>
          <w:lang w:eastAsia="zh-CN"/>
        </w:rPr>
        <w:t>时</w:t>
      </w:r>
      <w:r>
        <w:rPr>
          <w:rFonts w:hint="eastAsia" w:ascii="仿宋_GB2312" w:eastAsia="仿宋_GB2312"/>
          <w:sz w:val="32"/>
          <w:szCs w:val="32"/>
        </w:rPr>
        <w:t>在龙佰码头前沿冲滩后船舶翻沉（概位：29°53.23′N/122°08.27′E），船上11人中4人自行上岸，落水的7人中5人获救、2人失踪，构成一般等级水上交通事故。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4、2019年8月1日2300时左右，由连云港出发驶往印度尼西亚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香港华珠航运有限公司管理的“JIN WAN”轮在舟山朱家尖岛以东约80海里水域（概位29°55.7′N、123°50.1′E）与由舟山沈家门空载开往舟山外海渔场进行捕鱼作业舟山居民徐</w:t>
      </w:r>
      <w:r>
        <w:rPr>
          <w:rFonts w:hint="eastAsia" w:ascii="仿宋_GB2312" w:eastAsia="仿宋_GB2312"/>
          <w:sz w:val="32"/>
          <w:szCs w:val="32"/>
          <w:lang w:eastAsia="zh-CN"/>
        </w:rPr>
        <w:t>某</w:t>
      </w:r>
      <w:r>
        <w:rPr>
          <w:rFonts w:hint="eastAsia" w:ascii="仿宋_GB2312" w:eastAsia="仿宋_GB2312"/>
          <w:sz w:val="32"/>
          <w:szCs w:val="32"/>
        </w:rPr>
        <w:t>个体所有的“浙普渔68956”轮发生碰撞，事故造成“浙普渔68956”轮1名船员落水失踪，构成一般等级水上交通事故。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、2019年08月07日0052时许，台州居民陈某个体所有的“浙椒渔运88336”轮与货船（AIS显示船名为“FUHAIJILI”，其余不详）在台州沿海（概位：28°43.680′N/121°58.450′E）发生碰撞，事故导致“浙椒渔运88336”轮右后舷墙倒塌，船上1名人员死亡，构成一般等级水上交通事故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6、2019年8月7日1419时左右，装载散装水泥470吨从宁波驶往岱山鱼山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临海市海河船务有限公司所属的“浙临机589”轮在外钓山与岑港之间水域与一无名小船发生碰撞，无名小船上2人落水其中1人死亡、1人获救，构成一般等级水上交通事故。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7、2019年9月3日约0530时，装载管桩723.8吨从长江驶往岱山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泰州市生松船务有限公司所属的“新安达39”轮航行至鱼山测风塔西面约0.2海里水域（概位30°24.1′N/121°59.4′E）时沉没，船上共3人，其中1人获救、另2人失踪，构成一般等级水上交通事故。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8、2019年9月22日1332时，闽侯县洲平水运有限公司所属的“国宇66”轮航经苍南中墩渔港外与回港的渔业辅助船在（概位：27°18.3′N/120°34.5′E）处发生碰撞，事故造成“无证”渔业辅助船沉没，7人落水，其中2人死亡，构成一般等级水上交通事故。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2019年辖区外浙江籍船舶人员死亡失踪事故案例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、2019年11月6日约0900时，苍南县兴港海运有限公司所属“兴港28“轮载运砂约1000吨从福建福鼎驶往浙江苍南途中，在福鼎离港期间触礁，事故造成”兴港28“轮沉没于福鼎鼎港船厂附近水域（概位27°13.46′N，120°20.12′E），2人死亡，构成一般等级水上交通</w:t>
      </w:r>
      <w:bookmarkStart w:id="4" w:name="_GoBack"/>
      <w:bookmarkEnd w:id="4"/>
      <w:r>
        <w:rPr>
          <w:rFonts w:hint="eastAsia" w:ascii="仿宋_GB2312" w:eastAsia="仿宋_GB2312"/>
          <w:sz w:val="32"/>
          <w:szCs w:val="32"/>
        </w:rPr>
        <w:t>事故。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2、2019年10月18日1910时左右，中航国际租赁有限公司所属的中国籍多用途船”中良裕和“轮在锦州港210泊位停靠期间，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名机工落入海中（概位40度48.1分北，121度03.6分东），事故造成1名船员失踪，</w:t>
      </w:r>
      <w:r>
        <w:rPr>
          <w:rFonts w:hint="eastAsia" w:ascii="仿宋_GB2312" w:eastAsia="仿宋_GB2312"/>
          <w:sz w:val="32"/>
          <w:szCs w:val="32"/>
          <w:lang w:eastAsia="zh-CN"/>
        </w:rPr>
        <w:t>构成</w:t>
      </w:r>
      <w:r>
        <w:rPr>
          <w:rFonts w:hint="eastAsia" w:ascii="仿宋_GB2312" w:eastAsia="仿宋_GB2312"/>
          <w:sz w:val="32"/>
          <w:szCs w:val="32"/>
        </w:rPr>
        <w:t>一般等级水上交通事故。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3、10月4日约0938时，宁波汉陆物流有限责任公司所属“汉陆587”轮由广西钦州前往泉州港期间，在镇海角以东约8海里水域与BATANAGAR SHIPPING CORPORATION所属中国香港籍集装箱船“BELAWAN”轮发生碰撞，事故造成“汉陆587”轮沉没，1名船员死亡，2名船员失踪，构成较大等级水上交通事故。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4、2019年9月3日约1840时，舟山市捷邦船务有限公司所属的“捷邦6”轮从广州开往福建漳州途中，在汕头市表角对开水域，陈某在修理船舶舷灯时，触电死亡，造成一般等级水上交通事故。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2019年5月22日0830时许，舟山宇浩船务有限公司所属舟山籍“舟富668”轮，在航至烟台长岛北砣矶水道7号浮附近水域（概位：38°13.′352N/120°51′.145E）时，驾驶台后甲板所载杂货（废纸箱、塑料框、渔货等物）起火引发火灾事故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造成临时搭乘该轮的2名岛民死亡，构成一般等级水上交通事故。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6、2019年5月20日约1714时，汤</w:t>
      </w:r>
      <w:r>
        <w:rPr>
          <w:rFonts w:hint="eastAsia" w:ascii="仿宋_GB2312" w:eastAsia="仿宋_GB2312"/>
          <w:sz w:val="32"/>
          <w:szCs w:val="32"/>
          <w:lang w:eastAsia="zh-CN"/>
        </w:rPr>
        <w:t>某</w:t>
      </w:r>
      <w:r>
        <w:rPr>
          <w:rFonts w:hint="eastAsia" w:ascii="仿宋_GB2312" w:eastAsia="仿宋_GB2312"/>
          <w:sz w:val="32"/>
          <w:szCs w:val="32"/>
        </w:rPr>
        <w:t>所有“富宏6”轮从芜湖装载水泥5000吨开往秀屿港的途中，在莆田水域（概位：N24°58.5′E119°06′）与从宁德白马港装载钢铁943吨开往佛山石湾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芜湖如正投资咨询有限公司所有“昌汇9”轮发生碰撞，事故造成“昌汇9”轮进水后沉没，船上6人全部救起，其中1人经抢救无效死亡，构成一般等级水上交通事故。</w:t>
      </w:r>
    </w:p>
    <w:p>
      <w:pPr>
        <w:rPr>
          <w:rFonts w:ascii="仿宋_GB2312" w:eastAsia="仿宋_GB2312" w:cs="仿宋_GB2312-WinCharSetFFFF-H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7、2019年2月3日约0521时左右，浙江省海运集团浙海海运有限公司所属的散货船“浙海505”轮与泰州市交通物资运输有限责任公司所属的油船“恒泰油009”轮在长江口灯船东北约50海里处水域（概位：31°22.575′N；123°27.208′E）发生碰撞。事故造成“浙海505”轮船首受损；“恒泰油009”轮沉没，船上共5人落水，其中1人获救4人失踪，构成较大等级水上交通事故。</w:t>
      </w:r>
    </w:p>
    <w:sectPr>
      <w:footerReference r:id="rId3" w:type="default"/>
      <w:footerReference r:id="rId4" w:type="even"/>
      <w:pgSz w:w="11906" w:h="16838"/>
      <w:pgMar w:top="1247" w:right="1286" w:bottom="1402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-WinCharSetFFFF-H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43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59"/>
    <w:rsid w:val="00001029"/>
    <w:rsid w:val="0000202E"/>
    <w:rsid w:val="000027F1"/>
    <w:rsid w:val="00003289"/>
    <w:rsid w:val="00004D21"/>
    <w:rsid w:val="00005950"/>
    <w:rsid w:val="00011D37"/>
    <w:rsid w:val="00012F9A"/>
    <w:rsid w:val="000207DC"/>
    <w:rsid w:val="00021E05"/>
    <w:rsid w:val="00024224"/>
    <w:rsid w:val="00025DE8"/>
    <w:rsid w:val="00027ED9"/>
    <w:rsid w:val="00033665"/>
    <w:rsid w:val="000367E6"/>
    <w:rsid w:val="00037389"/>
    <w:rsid w:val="00037C4E"/>
    <w:rsid w:val="0004289C"/>
    <w:rsid w:val="00042D7A"/>
    <w:rsid w:val="00043434"/>
    <w:rsid w:val="0004427C"/>
    <w:rsid w:val="00044B87"/>
    <w:rsid w:val="00047325"/>
    <w:rsid w:val="00047E36"/>
    <w:rsid w:val="00050B38"/>
    <w:rsid w:val="0005110A"/>
    <w:rsid w:val="000517AF"/>
    <w:rsid w:val="00053ED4"/>
    <w:rsid w:val="00055658"/>
    <w:rsid w:val="0005580D"/>
    <w:rsid w:val="00057BCD"/>
    <w:rsid w:val="0006031F"/>
    <w:rsid w:val="00061002"/>
    <w:rsid w:val="0006340A"/>
    <w:rsid w:val="000664DA"/>
    <w:rsid w:val="000679E6"/>
    <w:rsid w:val="00070451"/>
    <w:rsid w:val="000711E9"/>
    <w:rsid w:val="000728A3"/>
    <w:rsid w:val="000738AC"/>
    <w:rsid w:val="000744F8"/>
    <w:rsid w:val="000747C8"/>
    <w:rsid w:val="00075E4B"/>
    <w:rsid w:val="0007660B"/>
    <w:rsid w:val="000771B7"/>
    <w:rsid w:val="00077429"/>
    <w:rsid w:val="000774D2"/>
    <w:rsid w:val="0008034C"/>
    <w:rsid w:val="00082EDE"/>
    <w:rsid w:val="0008337F"/>
    <w:rsid w:val="00086245"/>
    <w:rsid w:val="00086405"/>
    <w:rsid w:val="000873A1"/>
    <w:rsid w:val="00087EC6"/>
    <w:rsid w:val="00090B90"/>
    <w:rsid w:val="00092E33"/>
    <w:rsid w:val="0009307B"/>
    <w:rsid w:val="00095DFB"/>
    <w:rsid w:val="000A0F2D"/>
    <w:rsid w:val="000A1713"/>
    <w:rsid w:val="000A3FE9"/>
    <w:rsid w:val="000A56D1"/>
    <w:rsid w:val="000A6072"/>
    <w:rsid w:val="000A7DB9"/>
    <w:rsid w:val="000B1A02"/>
    <w:rsid w:val="000B1D07"/>
    <w:rsid w:val="000B4296"/>
    <w:rsid w:val="000B5F58"/>
    <w:rsid w:val="000B66C3"/>
    <w:rsid w:val="000C0B5E"/>
    <w:rsid w:val="000C0CA2"/>
    <w:rsid w:val="000C35C9"/>
    <w:rsid w:val="000C6153"/>
    <w:rsid w:val="000C7476"/>
    <w:rsid w:val="000D062C"/>
    <w:rsid w:val="000D36DC"/>
    <w:rsid w:val="000D3B3D"/>
    <w:rsid w:val="000D5049"/>
    <w:rsid w:val="000D509A"/>
    <w:rsid w:val="000D51AC"/>
    <w:rsid w:val="000D5601"/>
    <w:rsid w:val="000D61B8"/>
    <w:rsid w:val="000D6629"/>
    <w:rsid w:val="000D685D"/>
    <w:rsid w:val="000E0B54"/>
    <w:rsid w:val="000E1A3D"/>
    <w:rsid w:val="000E4F61"/>
    <w:rsid w:val="000E6858"/>
    <w:rsid w:val="000F1EA1"/>
    <w:rsid w:val="000F2424"/>
    <w:rsid w:val="000F2671"/>
    <w:rsid w:val="000F2DA4"/>
    <w:rsid w:val="000F4E77"/>
    <w:rsid w:val="000F73D1"/>
    <w:rsid w:val="001022E3"/>
    <w:rsid w:val="0010418D"/>
    <w:rsid w:val="00106DA3"/>
    <w:rsid w:val="00107224"/>
    <w:rsid w:val="001072C4"/>
    <w:rsid w:val="00112F84"/>
    <w:rsid w:val="001204EF"/>
    <w:rsid w:val="0012487D"/>
    <w:rsid w:val="001264FA"/>
    <w:rsid w:val="00126EED"/>
    <w:rsid w:val="00127144"/>
    <w:rsid w:val="001302E6"/>
    <w:rsid w:val="00131682"/>
    <w:rsid w:val="0013203C"/>
    <w:rsid w:val="00133136"/>
    <w:rsid w:val="001333D9"/>
    <w:rsid w:val="00134B7B"/>
    <w:rsid w:val="00135C4F"/>
    <w:rsid w:val="001377AB"/>
    <w:rsid w:val="00140DFC"/>
    <w:rsid w:val="00141924"/>
    <w:rsid w:val="00141F62"/>
    <w:rsid w:val="0014293B"/>
    <w:rsid w:val="00142DA3"/>
    <w:rsid w:val="001437DE"/>
    <w:rsid w:val="00143EB4"/>
    <w:rsid w:val="00145B42"/>
    <w:rsid w:val="00150E12"/>
    <w:rsid w:val="00151AC3"/>
    <w:rsid w:val="00151E82"/>
    <w:rsid w:val="00152160"/>
    <w:rsid w:val="001530E9"/>
    <w:rsid w:val="001536AD"/>
    <w:rsid w:val="001536FA"/>
    <w:rsid w:val="00153791"/>
    <w:rsid w:val="001537D2"/>
    <w:rsid w:val="00154A14"/>
    <w:rsid w:val="00156157"/>
    <w:rsid w:val="00156602"/>
    <w:rsid w:val="00156CCA"/>
    <w:rsid w:val="0016243A"/>
    <w:rsid w:val="001624CE"/>
    <w:rsid w:val="001671DD"/>
    <w:rsid w:val="001676EA"/>
    <w:rsid w:val="00167994"/>
    <w:rsid w:val="001702BE"/>
    <w:rsid w:val="0017105B"/>
    <w:rsid w:val="0017177E"/>
    <w:rsid w:val="00173047"/>
    <w:rsid w:val="00174ECC"/>
    <w:rsid w:val="00177576"/>
    <w:rsid w:val="00177619"/>
    <w:rsid w:val="00177B90"/>
    <w:rsid w:val="001804F5"/>
    <w:rsid w:val="00180824"/>
    <w:rsid w:val="0018382B"/>
    <w:rsid w:val="001948CC"/>
    <w:rsid w:val="00195819"/>
    <w:rsid w:val="00197EE8"/>
    <w:rsid w:val="001A32AE"/>
    <w:rsid w:val="001A45AC"/>
    <w:rsid w:val="001A5DA6"/>
    <w:rsid w:val="001A60B5"/>
    <w:rsid w:val="001A63F1"/>
    <w:rsid w:val="001A6CB1"/>
    <w:rsid w:val="001A70C0"/>
    <w:rsid w:val="001A7A66"/>
    <w:rsid w:val="001B28C5"/>
    <w:rsid w:val="001B6C1C"/>
    <w:rsid w:val="001B72CA"/>
    <w:rsid w:val="001C0526"/>
    <w:rsid w:val="001C10E0"/>
    <w:rsid w:val="001C135C"/>
    <w:rsid w:val="001C16DF"/>
    <w:rsid w:val="001C1A58"/>
    <w:rsid w:val="001C2D34"/>
    <w:rsid w:val="001C3E46"/>
    <w:rsid w:val="001C48C3"/>
    <w:rsid w:val="001C69F9"/>
    <w:rsid w:val="001D0638"/>
    <w:rsid w:val="001D09AA"/>
    <w:rsid w:val="001D4118"/>
    <w:rsid w:val="001D5AC5"/>
    <w:rsid w:val="001E25EE"/>
    <w:rsid w:val="001E38D7"/>
    <w:rsid w:val="001E7F2F"/>
    <w:rsid w:val="001F0124"/>
    <w:rsid w:val="001F0B45"/>
    <w:rsid w:val="001F1AAA"/>
    <w:rsid w:val="001F48C4"/>
    <w:rsid w:val="001F630F"/>
    <w:rsid w:val="001F688F"/>
    <w:rsid w:val="001F6A3E"/>
    <w:rsid w:val="001F713A"/>
    <w:rsid w:val="002006B8"/>
    <w:rsid w:val="002014FD"/>
    <w:rsid w:val="0020170E"/>
    <w:rsid w:val="002023EB"/>
    <w:rsid w:val="00203197"/>
    <w:rsid w:val="002032C4"/>
    <w:rsid w:val="002040FA"/>
    <w:rsid w:val="00204EB9"/>
    <w:rsid w:val="00205C3A"/>
    <w:rsid w:val="00207015"/>
    <w:rsid w:val="002074C1"/>
    <w:rsid w:val="00207C26"/>
    <w:rsid w:val="002120EE"/>
    <w:rsid w:val="00212C1F"/>
    <w:rsid w:val="00214544"/>
    <w:rsid w:val="00215C43"/>
    <w:rsid w:val="00216E1F"/>
    <w:rsid w:val="00217DED"/>
    <w:rsid w:val="002210FE"/>
    <w:rsid w:val="00222237"/>
    <w:rsid w:val="00222512"/>
    <w:rsid w:val="00223A60"/>
    <w:rsid w:val="00224A8C"/>
    <w:rsid w:val="002302BE"/>
    <w:rsid w:val="00230A46"/>
    <w:rsid w:val="00231DE9"/>
    <w:rsid w:val="00236016"/>
    <w:rsid w:val="0023674F"/>
    <w:rsid w:val="00236BDF"/>
    <w:rsid w:val="0023771F"/>
    <w:rsid w:val="00237F9E"/>
    <w:rsid w:val="00240871"/>
    <w:rsid w:val="00240BAC"/>
    <w:rsid w:val="00243B0C"/>
    <w:rsid w:val="002460E5"/>
    <w:rsid w:val="00246E2B"/>
    <w:rsid w:val="002478AE"/>
    <w:rsid w:val="0025255A"/>
    <w:rsid w:val="00252E6C"/>
    <w:rsid w:val="00253DC3"/>
    <w:rsid w:val="00255626"/>
    <w:rsid w:val="00261925"/>
    <w:rsid w:val="002623F7"/>
    <w:rsid w:val="00262555"/>
    <w:rsid w:val="00263E6F"/>
    <w:rsid w:val="00264A8B"/>
    <w:rsid w:val="0026670D"/>
    <w:rsid w:val="002668B5"/>
    <w:rsid w:val="00267A39"/>
    <w:rsid w:val="002728AC"/>
    <w:rsid w:val="00275322"/>
    <w:rsid w:val="0027716B"/>
    <w:rsid w:val="00280648"/>
    <w:rsid w:val="002821F4"/>
    <w:rsid w:val="00285D38"/>
    <w:rsid w:val="002875FC"/>
    <w:rsid w:val="002909A1"/>
    <w:rsid w:val="0029296F"/>
    <w:rsid w:val="00292CB1"/>
    <w:rsid w:val="00292D27"/>
    <w:rsid w:val="00293411"/>
    <w:rsid w:val="00294837"/>
    <w:rsid w:val="00294B07"/>
    <w:rsid w:val="00296F42"/>
    <w:rsid w:val="002972BA"/>
    <w:rsid w:val="00297C89"/>
    <w:rsid w:val="002A00CA"/>
    <w:rsid w:val="002A305B"/>
    <w:rsid w:val="002A45D7"/>
    <w:rsid w:val="002A4E7D"/>
    <w:rsid w:val="002A5943"/>
    <w:rsid w:val="002A6014"/>
    <w:rsid w:val="002A625C"/>
    <w:rsid w:val="002A641C"/>
    <w:rsid w:val="002A7781"/>
    <w:rsid w:val="002B4E52"/>
    <w:rsid w:val="002B5108"/>
    <w:rsid w:val="002B5F58"/>
    <w:rsid w:val="002C04F3"/>
    <w:rsid w:val="002C2212"/>
    <w:rsid w:val="002C2A81"/>
    <w:rsid w:val="002C5806"/>
    <w:rsid w:val="002C69C4"/>
    <w:rsid w:val="002D016E"/>
    <w:rsid w:val="002D09EC"/>
    <w:rsid w:val="002D0C9A"/>
    <w:rsid w:val="002D0FA0"/>
    <w:rsid w:val="002D12FA"/>
    <w:rsid w:val="002D640C"/>
    <w:rsid w:val="002D6AF9"/>
    <w:rsid w:val="002D7B02"/>
    <w:rsid w:val="002D7E8B"/>
    <w:rsid w:val="002E0369"/>
    <w:rsid w:val="002E1F3F"/>
    <w:rsid w:val="002E3003"/>
    <w:rsid w:val="002E38BE"/>
    <w:rsid w:val="002E402D"/>
    <w:rsid w:val="002E4EB8"/>
    <w:rsid w:val="002E6126"/>
    <w:rsid w:val="002E72E7"/>
    <w:rsid w:val="002E7755"/>
    <w:rsid w:val="002F08DC"/>
    <w:rsid w:val="002F20F9"/>
    <w:rsid w:val="002F2A8B"/>
    <w:rsid w:val="00301673"/>
    <w:rsid w:val="00301999"/>
    <w:rsid w:val="003042B0"/>
    <w:rsid w:val="0030657E"/>
    <w:rsid w:val="00306B3E"/>
    <w:rsid w:val="00307397"/>
    <w:rsid w:val="00313575"/>
    <w:rsid w:val="003138E6"/>
    <w:rsid w:val="0031604C"/>
    <w:rsid w:val="00320928"/>
    <w:rsid w:val="00322058"/>
    <w:rsid w:val="00322FA0"/>
    <w:rsid w:val="00323D45"/>
    <w:rsid w:val="003243DC"/>
    <w:rsid w:val="00326ED8"/>
    <w:rsid w:val="00326FF2"/>
    <w:rsid w:val="00330081"/>
    <w:rsid w:val="003343C8"/>
    <w:rsid w:val="003350C9"/>
    <w:rsid w:val="00335A4A"/>
    <w:rsid w:val="00341C25"/>
    <w:rsid w:val="00344C26"/>
    <w:rsid w:val="003474AB"/>
    <w:rsid w:val="0034778F"/>
    <w:rsid w:val="003541E7"/>
    <w:rsid w:val="0035480D"/>
    <w:rsid w:val="00355B88"/>
    <w:rsid w:val="0035765B"/>
    <w:rsid w:val="00360322"/>
    <w:rsid w:val="00362D33"/>
    <w:rsid w:val="003656CB"/>
    <w:rsid w:val="00366FDA"/>
    <w:rsid w:val="00367CCA"/>
    <w:rsid w:val="003700EF"/>
    <w:rsid w:val="00374145"/>
    <w:rsid w:val="00374333"/>
    <w:rsid w:val="00375B7E"/>
    <w:rsid w:val="00377414"/>
    <w:rsid w:val="00380DE8"/>
    <w:rsid w:val="00380E0C"/>
    <w:rsid w:val="003813B6"/>
    <w:rsid w:val="003819AE"/>
    <w:rsid w:val="003845CC"/>
    <w:rsid w:val="00385D87"/>
    <w:rsid w:val="003873FD"/>
    <w:rsid w:val="003878AF"/>
    <w:rsid w:val="00391A7C"/>
    <w:rsid w:val="00393804"/>
    <w:rsid w:val="00393B19"/>
    <w:rsid w:val="00394817"/>
    <w:rsid w:val="00395553"/>
    <w:rsid w:val="003A304E"/>
    <w:rsid w:val="003A5195"/>
    <w:rsid w:val="003A68C3"/>
    <w:rsid w:val="003A70E4"/>
    <w:rsid w:val="003B6D3C"/>
    <w:rsid w:val="003C1201"/>
    <w:rsid w:val="003C15F5"/>
    <w:rsid w:val="003C3527"/>
    <w:rsid w:val="003C4D43"/>
    <w:rsid w:val="003C4E30"/>
    <w:rsid w:val="003C597F"/>
    <w:rsid w:val="003C6230"/>
    <w:rsid w:val="003C79C9"/>
    <w:rsid w:val="003D120B"/>
    <w:rsid w:val="003D2313"/>
    <w:rsid w:val="003D2EE2"/>
    <w:rsid w:val="003D3B5F"/>
    <w:rsid w:val="003D482B"/>
    <w:rsid w:val="003D6D81"/>
    <w:rsid w:val="003D7EF6"/>
    <w:rsid w:val="003E1033"/>
    <w:rsid w:val="003E465E"/>
    <w:rsid w:val="003E47C1"/>
    <w:rsid w:val="003E5D50"/>
    <w:rsid w:val="003E6DFB"/>
    <w:rsid w:val="003E6F2D"/>
    <w:rsid w:val="003E7B3B"/>
    <w:rsid w:val="003F114C"/>
    <w:rsid w:val="003F1D6E"/>
    <w:rsid w:val="003F6329"/>
    <w:rsid w:val="003F635E"/>
    <w:rsid w:val="003F6E9D"/>
    <w:rsid w:val="003F70F0"/>
    <w:rsid w:val="0040022A"/>
    <w:rsid w:val="0040339D"/>
    <w:rsid w:val="00403468"/>
    <w:rsid w:val="00404697"/>
    <w:rsid w:val="00412ADE"/>
    <w:rsid w:val="004153DA"/>
    <w:rsid w:val="00416154"/>
    <w:rsid w:val="00423615"/>
    <w:rsid w:val="00425BEC"/>
    <w:rsid w:val="004277D7"/>
    <w:rsid w:val="00431431"/>
    <w:rsid w:val="00431A28"/>
    <w:rsid w:val="00432D08"/>
    <w:rsid w:val="00435042"/>
    <w:rsid w:val="004351F0"/>
    <w:rsid w:val="004358C3"/>
    <w:rsid w:val="004367C7"/>
    <w:rsid w:val="004401F8"/>
    <w:rsid w:val="00440994"/>
    <w:rsid w:val="00441BF3"/>
    <w:rsid w:val="00441CA2"/>
    <w:rsid w:val="004439ED"/>
    <w:rsid w:val="004443B8"/>
    <w:rsid w:val="00445A8C"/>
    <w:rsid w:val="0045050C"/>
    <w:rsid w:val="00450695"/>
    <w:rsid w:val="00450BAC"/>
    <w:rsid w:val="00452151"/>
    <w:rsid w:val="00452E61"/>
    <w:rsid w:val="00452F0B"/>
    <w:rsid w:val="00454D89"/>
    <w:rsid w:val="00454F41"/>
    <w:rsid w:val="0046163B"/>
    <w:rsid w:val="004663F6"/>
    <w:rsid w:val="00471A02"/>
    <w:rsid w:val="00471C9A"/>
    <w:rsid w:val="00472FD4"/>
    <w:rsid w:val="00474136"/>
    <w:rsid w:val="004748A7"/>
    <w:rsid w:val="00474BA6"/>
    <w:rsid w:val="00474D07"/>
    <w:rsid w:val="004752F6"/>
    <w:rsid w:val="00475F46"/>
    <w:rsid w:val="00477C77"/>
    <w:rsid w:val="004805A4"/>
    <w:rsid w:val="00481909"/>
    <w:rsid w:val="00481DE7"/>
    <w:rsid w:val="0048586E"/>
    <w:rsid w:val="00485ED5"/>
    <w:rsid w:val="00486451"/>
    <w:rsid w:val="00487658"/>
    <w:rsid w:val="00497985"/>
    <w:rsid w:val="004A0D50"/>
    <w:rsid w:val="004A1F16"/>
    <w:rsid w:val="004A246A"/>
    <w:rsid w:val="004A2C29"/>
    <w:rsid w:val="004A5534"/>
    <w:rsid w:val="004B03AA"/>
    <w:rsid w:val="004B26B3"/>
    <w:rsid w:val="004B3327"/>
    <w:rsid w:val="004B5888"/>
    <w:rsid w:val="004B6C83"/>
    <w:rsid w:val="004B749E"/>
    <w:rsid w:val="004C0FEC"/>
    <w:rsid w:val="004C116D"/>
    <w:rsid w:val="004C15C3"/>
    <w:rsid w:val="004C7301"/>
    <w:rsid w:val="004C7DD9"/>
    <w:rsid w:val="004D123A"/>
    <w:rsid w:val="004D1632"/>
    <w:rsid w:val="004D262C"/>
    <w:rsid w:val="004D31F6"/>
    <w:rsid w:val="004D344D"/>
    <w:rsid w:val="004D43BF"/>
    <w:rsid w:val="004D4B68"/>
    <w:rsid w:val="004D4BFD"/>
    <w:rsid w:val="004D666F"/>
    <w:rsid w:val="004D679A"/>
    <w:rsid w:val="004D6CB7"/>
    <w:rsid w:val="004E074B"/>
    <w:rsid w:val="004E0BD9"/>
    <w:rsid w:val="004E2B3F"/>
    <w:rsid w:val="004E4A87"/>
    <w:rsid w:val="004E7713"/>
    <w:rsid w:val="004E7C52"/>
    <w:rsid w:val="004F3BF2"/>
    <w:rsid w:val="004F5FE4"/>
    <w:rsid w:val="004F62C7"/>
    <w:rsid w:val="004F668B"/>
    <w:rsid w:val="004F75F5"/>
    <w:rsid w:val="00500128"/>
    <w:rsid w:val="005022CF"/>
    <w:rsid w:val="005031E7"/>
    <w:rsid w:val="0050501F"/>
    <w:rsid w:val="00506216"/>
    <w:rsid w:val="0051264F"/>
    <w:rsid w:val="00512B03"/>
    <w:rsid w:val="00514464"/>
    <w:rsid w:val="005148C6"/>
    <w:rsid w:val="00521D67"/>
    <w:rsid w:val="00524232"/>
    <w:rsid w:val="00525D8E"/>
    <w:rsid w:val="00527A78"/>
    <w:rsid w:val="00527C4C"/>
    <w:rsid w:val="0053782B"/>
    <w:rsid w:val="00540ACC"/>
    <w:rsid w:val="00541F36"/>
    <w:rsid w:val="0054281B"/>
    <w:rsid w:val="00542F1A"/>
    <w:rsid w:val="00544840"/>
    <w:rsid w:val="00545591"/>
    <w:rsid w:val="005504B3"/>
    <w:rsid w:val="00553488"/>
    <w:rsid w:val="00555058"/>
    <w:rsid w:val="00555F61"/>
    <w:rsid w:val="00556516"/>
    <w:rsid w:val="00561A70"/>
    <w:rsid w:val="00562693"/>
    <w:rsid w:val="0056314C"/>
    <w:rsid w:val="00565F5B"/>
    <w:rsid w:val="00566A56"/>
    <w:rsid w:val="00566A98"/>
    <w:rsid w:val="00567D82"/>
    <w:rsid w:val="00567DC8"/>
    <w:rsid w:val="00570E0D"/>
    <w:rsid w:val="0057255C"/>
    <w:rsid w:val="0057264D"/>
    <w:rsid w:val="00572A3A"/>
    <w:rsid w:val="00574001"/>
    <w:rsid w:val="0057440B"/>
    <w:rsid w:val="00580AA4"/>
    <w:rsid w:val="0058350D"/>
    <w:rsid w:val="00583FA4"/>
    <w:rsid w:val="0058515A"/>
    <w:rsid w:val="0058541A"/>
    <w:rsid w:val="005855D2"/>
    <w:rsid w:val="00586EFD"/>
    <w:rsid w:val="0058778E"/>
    <w:rsid w:val="005931BE"/>
    <w:rsid w:val="00594549"/>
    <w:rsid w:val="005A0674"/>
    <w:rsid w:val="005A118A"/>
    <w:rsid w:val="005A1909"/>
    <w:rsid w:val="005A2DD0"/>
    <w:rsid w:val="005A2F76"/>
    <w:rsid w:val="005A348E"/>
    <w:rsid w:val="005A5074"/>
    <w:rsid w:val="005A5660"/>
    <w:rsid w:val="005A7FB1"/>
    <w:rsid w:val="005B08CE"/>
    <w:rsid w:val="005B0C91"/>
    <w:rsid w:val="005B2FE5"/>
    <w:rsid w:val="005B45F0"/>
    <w:rsid w:val="005C18E6"/>
    <w:rsid w:val="005C57AE"/>
    <w:rsid w:val="005C6C5E"/>
    <w:rsid w:val="005C7F93"/>
    <w:rsid w:val="005D0B10"/>
    <w:rsid w:val="005D243E"/>
    <w:rsid w:val="005D3649"/>
    <w:rsid w:val="005D3A33"/>
    <w:rsid w:val="005D4393"/>
    <w:rsid w:val="005E1360"/>
    <w:rsid w:val="005E1E0F"/>
    <w:rsid w:val="005E2A52"/>
    <w:rsid w:val="005E46C7"/>
    <w:rsid w:val="005E5563"/>
    <w:rsid w:val="005E68AA"/>
    <w:rsid w:val="005F012D"/>
    <w:rsid w:val="005F037D"/>
    <w:rsid w:val="005F25ED"/>
    <w:rsid w:val="005F27B2"/>
    <w:rsid w:val="005F30C0"/>
    <w:rsid w:val="005F4161"/>
    <w:rsid w:val="005F5EF2"/>
    <w:rsid w:val="00604393"/>
    <w:rsid w:val="00607DAE"/>
    <w:rsid w:val="00610C8D"/>
    <w:rsid w:val="00611ACC"/>
    <w:rsid w:val="00614C17"/>
    <w:rsid w:val="00620143"/>
    <w:rsid w:val="00621B2A"/>
    <w:rsid w:val="006222C3"/>
    <w:rsid w:val="0062284A"/>
    <w:rsid w:val="00624596"/>
    <w:rsid w:val="006250F0"/>
    <w:rsid w:val="006266EE"/>
    <w:rsid w:val="0062695F"/>
    <w:rsid w:val="0062699A"/>
    <w:rsid w:val="00626C6D"/>
    <w:rsid w:val="00627607"/>
    <w:rsid w:val="006311F2"/>
    <w:rsid w:val="006317F9"/>
    <w:rsid w:val="006322F6"/>
    <w:rsid w:val="00632ABD"/>
    <w:rsid w:val="00633BB7"/>
    <w:rsid w:val="00633E00"/>
    <w:rsid w:val="00634F1F"/>
    <w:rsid w:val="0064307D"/>
    <w:rsid w:val="00643E3D"/>
    <w:rsid w:val="00645587"/>
    <w:rsid w:val="0065050C"/>
    <w:rsid w:val="006513CA"/>
    <w:rsid w:val="00655ADB"/>
    <w:rsid w:val="00655FB2"/>
    <w:rsid w:val="0066019C"/>
    <w:rsid w:val="00661A37"/>
    <w:rsid w:val="00662470"/>
    <w:rsid w:val="00664AEB"/>
    <w:rsid w:val="0066562D"/>
    <w:rsid w:val="00670909"/>
    <w:rsid w:val="00671133"/>
    <w:rsid w:val="00672027"/>
    <w:rsid w:val="0067369F"/>
    <w:rsid w:val="00674B60"/>
    <w:rsid w:val="00675C24"/>
    <w:rsid w:val="00677D5D"/>
    <w:rsid w:val="0068078E"/>
    <w:rsid w:val="006826C0"/>
    <w:rsid w:val="006827E4"/>
    <w:rsid w:val="00685CF6"/>
    <w:rsid w:val="00685F6D"/>
    <w:rsid w:val="00686B0C"/>
    <w:rsid w:val="006879A5"/>
    <w:rsid w:val="00687B56"/>
    <w:rsid w:val="00687F84"/>
    <w:rsid w:val="00692AF5"/>
    <w:rsid w:val="0069303D"/>
    <w:rsid w:val="006936E1"/>
    <w:rsid w:val="00697837"/>
    <w:rsid w:val="006A01B6"/>
    <w:rsid w:val="006A1CBB"/>
    <w:rsid w:val="006A2C73"/>
    <w:rsid w:val="006A2CAC"/>
    <w:rsid w:val="006A3DF4"/>
    <w:rsid w:val="006A500D"/>
    <w:rsid w:val="006A7A84"/>
    <w:rsid w:val="006B09DF"/>
    <w:rsid w:val="006B4595"/>
    <w:rsid w:val="006B46B5"/>
    <w:rsid w:val="006B54DE"/>
    <w:rsid w:val="006C0278"/>
    <w:rsid w:val="006C091E"/>
    <w:rsid w:val="006C09C6"/>
    <w:rsid w:val="006C1624"/>
    <w:rsid w:val="006C3EC1"/>
    <w:rsid w:val="006C7D6E"/>
    <w:rsid w:val="006D1939"/>
    <w:rsid w:val="006D1DC3"/>
    <w:rsid w:val="006D4517"/>
    <w:rsid w:val="006D646E"/>
    <w:rsid w:val="006D6D63"/>
    <w:rsid w:val="006E0935"/>
    <w:rsid w:val="006E0A13"/>
    <w:rsid w:val="006E0C94"/>
    <w:rsid w:val="006E1D0B"/>
    <w:rsid w:val="006E256A"/>
    <w:rsid w:val="006E2DB7"/>
    <w:rsid w:val="006E328B"/>
    <w:rsid w:val="006E548C"/>
    <w:rsid w:val="006E603D"/>
    <w:rsid w:val="006E6181"/>
    <w:rsid w:val="006F0447"/>
    <w:rsid w:val="006F27EF"/>
    <w:rsid w:val="006F3D25"/>
    <w:rsid w:val="006F421D"/>
    <w:rsid w:val="006F4718"/>
    <w:rsid w:val="006F4E54"/>
    <w:rsid w:val="006F516E"/>
    <w:rsid w:val="006F57B2"/>
    <w:rsid w:val="006F7912"/>
    <w:rsid w:val="006F7F21"/>
    <w:rsid w:val="006F7F2D"/>
    <w:rsid w:val="007002CC"/>
    <w:rsid w:val="007006E4"/>
    <w:rsid w:val="007024F6"/>
    <w:rsid w:val="00705B50"/>
    <w:rsid w:val="00706959"/>
    <w:rsid w:val="00711361"/>
    <w:rsid w:val="0071235E"/>
    <w:rsid w:val="00715768"/>
    <w:rsid w:val="00715784"/>
    <w:rsid w:val="007200A1"/>
    <w:rsid w:val="0072411D"/>
    <w:rsid w:val="007246B1"/>
    <w:rsid w:val="00726C75"/>
    <w:rsid w:val="0073116F"/>
    <w:rsid w:val="00732C66"/>
    <w:rsid w:val="00734C4F"/>
    <w:rsid w:val="00735E0E"/>
    <w:rsid w:val="00736C1E"/>
    <w:rsid w:val="007400D6"/>
    <w:rsid w:val="007421BC"/>
    <w:rsid w:val="007431D9"/>
    <w:rsid w:val="007452AF"/>
    <w:rsid w:val="007463D2"/>
    <w:rsid w:val="0074649B"/>
    <w:rsid w:val="007469A4"/>
    <w:rsid w:val="00747A07"/>
    <w:rsid w:val="00750F47"/>
    <w:rsid w:val="007514BF"/>
    <w:rsid w:val="00753173"/>
    <w:rsid w:val="0075355C"/>
    <w:rsid w:val="00754D5D"/>
    <w:rsid w:val="00754FF4"/>
    <w:rsid w:val="00757433"/>
    <w:rsid w:val="00764FAE"/>
    <w:rsid w:val="00765650"/>
    <w:rsid w:val="00767F59"/>
    <w:rsid w:val="0077077F"/>
    <w:rsid w:val="007801D4"/>
    <w:rsid w:val="0078131D"/>
    <w:rsid w:val="00782094"/>
    <w:rsid w:val="00783455"/>
    <w:rsid w:val="00783653"/>
    <w:rsid w:val="007836B9"/>
    <w:rsid w:val="00783825"/>
    <w:rsid w:val="007845B3"/>
    <w:rsid w:val="00786629"/>
    <w:rsid w:val="007905DA"/>
    <w:rsid w:val="0079369F"/>
    <w:rsid w:val="00793C3F"/>
    <w:rsid w:val="00793FCB"/>
    <w:rsid w:val="00795F74"/>
    <w:rsid w:val="007979EB"/>
    <w:rsid w:val="00797D41"/>
    <w:rsid w:val="007A1717"/>
    <w:rsid w:val="007A2183"/>
    <w:rsid w:val="007A4EE8"/>
    <w:rsid w:val="007A5599"/>
    <w:rsid w:val="007A5A0C"/>
    <w:rsid w:val="007B1584"/>
    <w:rsid w:val="007B2FD2"/>
    <w:rsid w:val="007B3EB9"/>
    <w:rsid w:val="007B4379"/>
    <w:rsid w:val="007B59CB"/>
    <w:rsid w:val="007B6A42"/>
    <w:rsid w:val="007B7213"/>
    <w:rsid w:val="007C09AE"/>
    <w:rsid w:val="007C0BE7"/>
    <w:rsid w:val="007C2087"/>
    <w:rsid w:val="007C2E5F"/>
    <w:rsid w:val="007C2EDA"/>
    <w:rsid w:val="007C3720"/>
    <w:rsid w:val="007C4A92"/>
    <w:rsid w:val="007C5830"/>
    <w:rsid w:val="007C79E2"/>
    <w:rsid w:val="007D0DEC"/>
    <w:rsid w:val="007D2538"/>
    <w:rsid w:val="007D271E"/>
    <w:rsid w:val="007D2D8C"/>
    <w:rsid w:val="007D4D9C"/>
    <w:rsid w:val="007D4ECB"/>
    <w:rsid w:val="007D6E48"/>
    <w:rsid w:val="007D6ED9"/>
    <w:rsid w:val="007D79DA"/>
    <w:rsid w:val="007E1B8C"/>
    <w:rsid w:val="007E2099"/>
    <w:rsid w:val="007E2111"/>
    <w:rsid w:val="007E25E0"/>
    <w:rsid w:val="007E36F3"/>
    <w:rsid w:val="007E3772"/>
    <w:rsid w:val="007E4FDD"/>
    <w:rsid w:val="007E6124"/>
    <w:rsid w:val="007F29A4"/>
    <w:rsid w:val="007F4602"/>
    <w:rsid w:val="007F4D4B"/>
    <w:rsid w:val="007F6039"/>
    <w:rsid w:val="007F7151"/>
    <w:rsid w:val="00800DED"/>
    <w:rsid w:val="00801E96"/>
    <w:rsid w:val="00802329"/>
    <w:rsid w:val="0080442E"/>
    <w:rsid w:val="00804B2E"/>
    <w:rsid w:val="00805539"/>
    <w:rsid w:val="00807FE4"/>
    <w:rsid w:val="0081073C"/>
    <w:rsid w:val="00811944"/>
    <w:rsid w:val="00813057"/>
    <w:rsid w:val="00814591"/>
    <w:rsid w:val="008146CE"/>
    <w:rsid w:val="00815698"/>
    <w:rsid w:val="00816BA0"/>
    <w:rsid w:val="008172BC"/>
    <w:rsid w:val="00820BB9"/>
    <w:rsid w:val="00820DD1"/>
    <w:rsid w:val="00821601"/>
    <w:rsid w:val="00821615"/>
    <w:rsid w:val="008216C6"/>
    <w:rsid w:val="008239E4"/>
    <w:rsid w:val="00823D0C"/>
    <w:rsid w:val="00824FDA"/>
    <w:rsid w:val="008250F4"/>
    <w:rsid w:val="00827D0C"/>
    <w:rsid w:val="00827E0F"/>
    <w:rsid w:val="008306C6"/>
    <w:rsid w:val="00830CD0"/>
    <w:rsid w:val="008317AC"/>
    <w:rsid w:val="008321CB"/>
    <w:rsid w:val="00832522"/>
    <w:rsid w:val="00832DB3"/>
    <w:rsid w:val="00833DCE"/>
    <w:rsid w:val="00834616"/>
    <w:rsid w:val="00834F3B"/>
    <w:rsid w:val="00835695"/>
    <w:rsid w:val="00840760"/>
    <w:rsid w:val="0084089D"/>
    <w:rsid w:val="008416F3"/>
    <w:rsid w:val="00843E29"/>
    <w:rsid w:val="008453DA"/>
    <w:rsid w:val="00845D7E"/>
    <w:rsid w:val="00847227"/>
    <w:rsid w:val="00850377"/>
    <w:rsid w:val="00850AE3"/>
    <w:rsid w:val="0085175E"/>
    <w:rsid w:val="00852C9D"/>
    <w:rsid w:val="008546AD"/>
    <w:rsid w:val="00854705"/>
    <w:rsid w:val="00855D5E"/>
    <w:rsid w:val="00860724"/>
    <w:rsid w:val="00863996"/>
    <w:rsid w:val="00864246"/>
    <w:rsid w:val="00865214"/>
    <w:rsid w:val="0086658A"/>
    <w:rsid w:val="0086778B"/>
    <w:rsid w:val="0087473B"/>
    <w:rsid w:val="00876390"/>
    <w:rsid w:val="00877AF3"/>
    <w:rsid w:val="008813B1"/>
    <w:rsid w:val="00881D4E"/>
    <w:rsid w:val="00886B00"/>
    <w:rsid w:val="00886BFC"/>
    <w:rsid w:val="008877D0"/>
    <w:rsid w:val="0088784A"/>
    <w:rsid w:val="00887937"/>
    <w:rsid w:val="008907FA"/>
    <w:rsid w:val="00890D98"/>
    <w:rsid w:val="00892487"/>
    <w:rsid w:val="008928A7"/>
    <w:rsid w:val="008944BC"/>
    <w:rsid w:val="008A12A5"/>
    <w:rsid w:val="008A14FA"/>
    <w:rsid w:val="008A5FAE"/>
    <w:rsid w:val="008A646B"/>
    <w:rsid w:val="008A709C"/>
    <w:rsid w:val="008B008C"/>
    <w:rsid w:val="008B05D7"/>
    <w:rsid w:val="008B0B5C"/>
    <w:rsid w:val="008B0D88"/>
    <w:rsid w:val="008B253D"/>
    <w:rsid w:val="008B3BEB"/>
    <w:rsid w:val="008B4BB4"/>
    <w:rsid w:val="008B548E"/>
    <w:rsid w:val="008B555B"/>
    <w:rsid w:val="008B6089"/>
    <w:rsid w:val="008C141D"/>
    <w:rsid w:val="008C2427"/>
    <w:rsid w:val="008C2E75"/>
    <w:rsid w:val="008C3363"/>
    <w:rsid w:val="008C7B3F"/>
    <w:rsid w:val="008D1604"/>
    <w:rsid w:val="008D1AD1"/>
    <w:rsid w:val="008D2157"/>
    <w:rsid w:val="008D2A44"/>
    <w:rsid w:val="008D2AA0"/>
    <w:rsid w:val="008D7325"/>
    <w:rsid w:val="008E005C"/>
    <w:rsid w:val="008E0822"/>
    <w:rsid w:val="008E2EC2"/>
    <w:rsid w:val="008E3DC9"/>
    <w:rsid w:val="008E428E"/>
    <w:rsid w:val="008E4681"/>
    <w:rsid w:val="008E72D0"/>
    <w:rsid w:val="008E7827"/>
    <w:rsid w:val="008E783A"/>
    <w:rsid w:val="008F020D"/>
    <w:rsid w:val="008F3A2D"/>
    <w:rsid w:val="008F5B2A"/>
    <w:rsid w:val="008F5ED0"/>
    <w:rsid w:val="008F6564"/>
    <w:rsid w:val="00900EB7"/>
    <w:rsid w:val="009033A1"/>
    <w:rsid w:val="00903DD6"/>
    <w:rsid w:val="009042C3"/>
    <w:rsid w:val="00906D1E"/>
    <w:rsid w:val="00910A61"/>
    <w:rsid w:val="00911E7A"/>
    <w:rsid w:val="00912A0F"/>
    <w:rsid w:val="00913DE4"/>
    <w:rsid w:val="009142E1"/>
    <w:rsid w:val="0091548C"/>
    <w:rsid w:val="00915C17"/>
    <w:rsid w:val="00917A9D"/>
    <w:rsid w:val="00922F63"/>
    <w:rsid w:val="00923E01"/>
    <w:rsid w:val="00924796"/>
    <w:rsid w:val="0093001F"/>
    <w:rsid w:val="0093064D"/>
    <w:rsid w:val="00930935"/>
    <w:rsid w:val="0093177C"/>
    <w:rsid w:val="00934755"/>
    <w:rsid w:val="00936742"/>
    <w:rsid w:val="00936A89"/>
    <w:rsid w:val="00943B55"/>
    <w:rsid w:val="00944849"/>
    <w:rsid w:val="00945D2B"/>
    <w:rsid w:val="00946A88"/>
    <w:rsid w:val="00947BF7"/>
    <w:rsid w:val="0095036A"/>
    <w:rsid w:val="00953471"/>
    <w:rsid w:val="00955F55"/>
    <w:rsid w:val="0096090F"/>
    <w:rsid w:val="0096252C"/>
    <w:rsid w:val="00965259"/>
    <w:rsid w:val="00965CC3"/>
    <w:rsid w:val="009668AA"/>
    <w:rsid w:val="009677ED"/>
    <w:rsid w:val="009709FE"/>
    <w:rsid w:val="00970CCD"/>
    <w:rsid w:val="009720C7"/>
    <w:rsid w:val="00974097"/>
    <w:rsid w:val="00974A48"/>
    <w:rsid w:val="0098161D"/>
    <w:rsid w:val="00983203"/>
    <w:rsid w:val="009837C0"/>
    <w:rsid w:val="009852DF"/>
    <w:rsid w:val="009855C5"/>
    <w:rsid w:val="00986106"/>
    <w:rsid w:val="0098634F"/>
    <w:rsid w:val="00987155"/>
    <w:rsid w:val="009902FE"/>
    <w:rsid w:val="00993544"/>
    <w:rsid w:val="00993E7B"/>
    <w:rsid w:val="009942C9"/>
    <w:rsid w:val="00995843"/>
    <w:rsid w:val="0099591B"/>
    <w:rsid w:val="00996073"/>
    <w:rsid w:val="0099624A"/>
    <w:rsid w:val="00996F86"/>
    <w:rsid w:val="0099737C"/>
    <w:rsid w:val="0099797B"/>
    <w:rsid w:val="009A15AD"/>
    <w:rsid w:val="009A324A"/>
    <w:rsid w:val="009A4C1B"/>
    <w:rsid w:val="009A5198"/>
    <w:rsid w:val="009A54F3"/>
    <w:rsid w:val="009A65DD"/>
    <w:rsid w:val="009A6A1D"/>
    <w:rsid w:val="009A77EC"/>
    <w:rsid w:val="009A7899"/>
    <w:rsid w:val="009A78AD"/>
    <w:rsid w:val="009B032A"/>
    <w:rsid w:val="009B063E"/>
    <w:rsid w:val="009B20E5"/>
    <w:rsid w:val="009B2A83"/>
    <w:rsid w:val="009B434D"/>
    <w:rsid w:val="009B4F90"/>
    <w:rsid w:val="009B569B"/>
    <w:rsid w:val="009B5B96"/>
    <w:rsid w:val="009C084C"/>
    <w:rsid w:val="009C1853"/>
    <w:rsid w:val="009C207E"/>
    <w:rsid w:val="009C2EE3"/>
    <w:rsid w:val="009C47E3"/>
    <w:rsid w:val="009C4BE7"/>
    <w:rsid w:val="009C4D1E"/>
    <w:rsid w:val="009C6939"/>
    <w:rsid w:val="009C7DC6"/>
    <w:rsid w:val="009D042E"/>
    <w:rsid w:val="009D06C6"/>
    <w:rsid w:val="009D44E0"/>
    <w:rsid w:val="009D4E64"/>
    <w:rsid w:val="009D588B"/>
    <w:rsid w:val="009D6695"/>
    <w:rsid w:val="009D79AB"/>
    <w:rsid w:val="009E0117"/>
    <w:rsid w:val="009E04C9"/>
    <w:rsid w:val="009E0A0F"/>
    <w:rsid w:val="009E13EB"/>
    <w:rsid w:val="009E16EE"/>
    <w:rsid w:val="009E2930"/>
    <w:rsid w:val="009E42D7"/>
    <w:rsid w:val="009E5F41"/>
    <w:rsid w:val="009E6C6E"/>
    <w:rsid w:val="009E74C3"/>
    <w:rsid w:val="009F0B97"/>
    <w:rsid w:val="009F134B"/>
    <w:rsid w:val="009F2496"/>
    <w:rsid w:val="009F35C9"/>
    <w:rsid w:val="009F3BDA"/>
    <w:rsid w:val="009F4252"/>
    <w:rsid w:val="009F48E4"/>
    <w:rsid w:val="009F4CBD"/>
    <w:rsid w:val="009F52C0"/>
    <w:rsid w:val="009F6087"/>
    <w:rsid w:val="009F60E1"/>
    <w:rsid w:val="009F6309"/>
    <w:rsid w:val="00A0130E"/>
    <w:rsid w:val="00A01959"/>
    <w:rsid w:val="00A05077"/>
    <w:rsid w:val="00A054CB"/>
    <w:rsid w:val="00A10555"/>
    <w:rsid w:val="00A1089C"/>
    <w:rsid w:val="00A109B5"/>
    <w:rsid w:val="00A109EC"/>
    <w:rsid w:val="00A10CD4"/>
    <w:rsid w:val="00A10FCA"/>
    <w:rsid w:val="00A112EA"/>
    <w:rsid w:val="00A122FF"/>
    <w:rsid w:val="00A14844"/>
    <w:rsid w:val="00A20BA3"/>
    <w:rsid w:val="00A21A31"/>
    <w:rsid w:val="00A21E64"/>
    <w:rsid w:val="00A22847"/>
    <w:rsid w:val="00A25BAC"/>
    <w:rsid w:val="00A25D10"/>
    <w:rsid w:val="00A33DAD"/>
    <w:rsid w:val="00A35005"/>
    <w:rsid w:val="00A36284"/>
    <w:rsid w:val="00A36F82"/>
    <w:rsid w:val="00A37BA6"/>
    <w:rsid w:val="00A421CF"/>
    <w:rsid w:val="00A44BDD"/>
    <w:rsid w:val="00A453C7"/>
    <w:rsid w:val="00A46C37"/>
    <w:rsid w:val="00A47FF9"/>
    <w:rsid w:val="00A517B7"/>
    <w:rsid w:val="00A51831"/>
    <w:rsid w:val="00A521E3"/>
    <w:rsid w:val="00A53E4F"/>
    <w:rsid w:val="00A56125"/>
    <w:rsid w:val="00A5652F"/>
    <w:rsid w:val="00A60825"/>
    <w:rsid w:val="00A618D1"/>
    <w:rsid w:val="00A623C6"/>
    <w:rsid w:val="00A646FE"/>
    <w:rsid w:val="00A655BA"/>
    <w:rsid w:val="00A712A9"/>
    <w:rsid w:val="00A74167"/>
    <w:rsid w:val="00A753F6"/>
    <w:rsid w:val="00A75965"/>
    <w:rsid w:val="00A77226"/>
    <w:rsid w:val="00A77647"/>
    <w:rsid w:val="00A8024E"/>
    <w:rsid w:val="00A8071B"/>
    <w:rsid w:val="00A81316"/>
    <w:rsid w:val="00A81467"/>
    <w:rsid w:val="00A8221F"/>
    <w:rsid w:val="00A82345"/>
    <w:rsid w:val="00A83244"/>
    <w:rsid w:val="00A85681"/>
    <w:rsid w:val="00A856CE"/>
    <w:rsid w:val="00A85984"/>
    <w:rsid w:val="00A87B33"/>
    <w:rsid w:val="00A9035A"/>
    <w:rsid w:val="00A90CDB"/>
    <w:rsid w:val="00A936C6"/>
    <w:rsid w:val="00A93F99"/>
    <w:rsid w:val="00A9435C"/>
    <w:rsid w:val="00A949CD"/>
    <w:rsid w:val="00A96C14"/>
    <w:rsid w:val="00AA2903"/>
    <w:rsid w:val="00AA3838"/>
    <w:rsid w:val="00AA3ED7"/>
    <w:rsid w:val="00AA4459"/>
    <w:rsid w:val="00AA5265"/>
    <w:rsid w:val="00AA612C"/>
    <w:rsid w:val="00AB0CB4"/>
    <w:rsid w:val="00AB3AF0"/>
    <w:rsid w:val="00AB41B1"/>
    <w:rsid w:val="00AB4663"/>
    <w:rsid w:val="00AB55C3"/>
    <w:rsid w:val="00AB6983"/>
    <w:rsid w:val="00AB69ED"/>
    <w:rsid w:val="00AB6B08"/>
    <w:rsid w:val="00AB7244"/>
    <w:rsid w:val="00AC4DEB"/>
    <w:rsid w:val="00AC6632"/>
    <w:rsid w:val="00AC7424"/>
    <w:rsid w:val="00AD17B6"/>
    <w:rsid w:val="00AD1827"/>
    <w:rsid w:val="00AD2062"/>
    <w:rsid w:val="00AD21BC"/>
    <w:rsid w:val="00AD4038"/>
    <w:rsid w:val="00AD4192"/>
    <w:rsid w:val="00AD487F"/>
    <w:rsid w:val="00AD55B7"/>
    <w:rsid w:val="00AE1553"/>
    <w:rsid w:val="00AE1D07"/>
    <w:rsid w:val="00AE210F"/>
    <w:rsid w:val="00AE315F"/>
    <w:rsid w:val="00AE4538"/>
    <w:rsid w:val="00AE55A2"/>
    <w:rsid w:val="00AE790C"/>
    <w:rsid w:val="00AF023A"/>
    <w:rsid w:val="00AF08CB"/>
    <w:rsid w:val="00AF215F"/>
    <w:rsid w:val="00AF3457"/>
    <w:rsid w:val="00AF3EC7"/>
    <w:rsid w:val="00AF4617"/>
    <w:rsid w:val="00AF589F"/>
    <w:rsid w:val="00AF5A6A"/>
    <w:rsid w:val="00AF5FA6"/>
    <w:rsid w:val="00B00079"/>
    <w:rsid w:val="00B00182"/>
    <w:rsid w:val="00B0068B"/>
    <w:rsid w:val="00B03086"/>
    <w:rsid w:val="00B04DEF"/>
    <w:rsid w:val="00B11697"/>
    <w:rsid w:val="00B11DBC"/>
    <w:rsid w:val="00B1225A"/>
    <w:rsid w:val="00B1340E"/>
    <w:rsid w:val="00B13BC1"/>
    <w:rsid w:val="00B20F88"/>
    <w:rsid w:val="00B21E49"/>
    <w:rsid w:val="00B22248"/>
    <w:rsid w:val="00B25930"/>
    <w:rsid w:val="00B306D8"/>
    <w:rsid w:val="00B34294"/>
    <w:rsid w:val="00B36AC4"/>
    <w:rsid w:val="00B3725E"/>
    <w:rsid w:val="00B372E7"/>
    <w:rsid w:val="00B37B0A"/>
    <w:rsid w:val="00B42745"/>
    <w:rsid w:val="00B427A7"/>
    <w:rsid w:val="00B42B77"/>
    <w:rsid w:val="00B43242"/>
    <w:rsid w:val="00B43A30"/>
    <w:rsid w:val="00B449ED"/>
    <w:rsid w:val="00B45A62"/>
    <w:rsid w:val="00B47283"/>
    <w:rsid w:val="00B47B60"/>
    <w:rsid w:val="00B47E28"/>
    <w:rsid w:val="00B52202"/>
    <w:rsid w:val="00B5305F"/>
    <w:rsid w:val="00B53FE3"/>
    <w:rsid w:val="00B54FED"/>
    <w:rsid w:val="00B57C15"/>
    <w:rsid w:val="00B6013A"/>
    <w:rsid w:val="00B61EF8"/>
    <w:rsid w:val="00B65AB6"/>
    <w:rsid w:val="00B67060"/>
    <w:rsid w:val="00B722EA"/>
    <w:rsid w:val="00B737D7"/>
    <w:rsid w:val="00B73ECF"/>
    <w:rsid w:val="00B75261"/>
    <w:rsid w:val="00B7542C"/>
    <w:rsid w:val="00B75D43"/>
    <w:rsid w:val="00B763F0"/>
    <w:rsid w:val="00B76F26"/>
    <w:rsid w:val="00B8341D"/>
    <w:rsid w:val="00B83839"/>
    <w:rsid w:val="00B84B9E"/>
    <w:rsid w:val="00B84CC9"/>
    <w:rsid w:val="00B84D38"/>
    <w:rsid w:val="00B90178"/>
    <w:rsid w:val="00B924D3"/>
    <w:rsid w:val="00B9314E"/>
    <w:rsid w:val="00B93D9B"/>
    <w:rsid w:val="00B95138"/>
    <w:rsid w:val="00B952F6"/>
    <w:rsid w:val="00B957DF"/>
    <w:rsid w:val="00B977F7"/>
    <w:rsid w:val="00BA015D"/>
    <w:rsid w:val="00BA042B"/>
    <w:rsid w:val="00BA06E8"/>
    <w:rsid w:val="00BA1621"/>
    <w:rsid w:val="00BA40D9"/>
    <w:rsid w:val="00BA4C3D"/>
    <w:rsid w:val="00BA5324"/>
    <w:rsid w:val="00BB1107"/>
    <w:rsid w:val="00BB173F"/>
    <w:rsid w:val="00BB311F"/>
    <w:rsid w:val="00BB543C"/>
    <w:rsid w:val="00BB7694"/>
    <w:rsid w:val="00BB76F3"/>
    <w:rsid w:val="00BC182F"/>
    <w:rsid w:val="00BC62A1"/>
    <w:rsid w:val="00BC6CC7"/>
    <w:rsid w:val="00BC7F2E"/>
    <w:rsid w:val="00BD01D1"/>
    <w:rsid w:val="00BD0B13"/>
    <w:rsid w:val="00BD2596"/>
    <w:rsid w:val="00BD29CF"/>
    <w:rsid w:val="00BD3833"/>
    <w:rsid w:val="00BD7CE9"/>
    <w:rsid w:val="00BD7DC9"/>
    <w:rsid w:val="00BE57C9"/>
    <w:rsid w:val="00BE5DC8"/>
    <w:rsid w:val="00BE6A21"/>
    <w:rsid w:val="00BF2A8C"/>
    <w:rsid w:val="00BF2EE8"/>
    <w:rsid w:val="00BF4278"/>
    <w:rsid w:val="00BF5B5A"/>
    <w:rsid w:val="00BF5EC5"/>
    <w:rsid w:val="00BF6153"/>
    <w:rsid w:val="00BF707B"/>
    <w:rsid w:val="00C00632"/>
    <w:rsid w:val="00C01CC0"/>
    <w:rsid w:val="00C04182"/>
    <w:rsid w:val="00C04F52"/>
    <w:rsid w:val="00C051B3"/>
    <w:rsid w:val="00C11B17"/>
    <w:rsid w:val="00C12FD9"/>
    <w:rsid w:val="00C14AD3"/>
    <w:rsid w:val="00C1500A"/>
    <w:rsid w:val="00C15471"/>
    <w:rsid w:val="00C156FA"/>
    <w:rsid w:val="00C165E1"/>
    <w:rsid w:val="00C26924"/>
    <w:rsid w:val="00C275D0"/>
    <w:rsid w:val="00C3114E"/>
    <w:rsid w:val="00C31B82"/>
    <w:rsid w:val="00C3208A"/>
    <w:rsid w:val="00C326A7"/>
    <w:rsid w:val="00C32E7A"/>
    <w:rsid w:val="00C3351B"/>
    <w:rsid w:val="00C33BCA"/>
    <w:rsid w:val="00C404F2"/>
    <w:rsid w:val="00C40DAC"/>
    <w:rsid w:val="00C424E7"/>
    <w:rsid w:val="00C42E36"/>
    <w:rsid w:val="00C44951"/>
    <w:rsid w:val="00C477A3"/>
    <w:rsid w:val="00C50B03"/>
    <w:rsid w:val="00C50B8F"/>
    <w:rsid w:val="00C517BF"/>
    <w:rsid w:val="00C51F3E"/>
    <w:rsid w:val="00C53150"/>
    <w:rsid w:val="00C54204"/>
    <w:rsid w:val="00C56DCA"/>
    <w:rsid w:val="00C574E6"/>
    <w:rsid w:val="00C63DA5"/>
    <w:rsid w:val="00C668CC"/>
    <w:rsid w:val="00C675BE"/>
    <w:rsid w:val="00C706D7"/>
    <w:rsid w:val="00C73919"/>
    <w:rsid w:val="00C75832"/>
    <w:rsid w:val="00C77A98"/>
    <w:rsid w:val="00C77B8A"/>
    <w:rsid w:val="00C802AE"/>
    <w:rsid w:val="00C83A69"/>
    <w:rsid w:val="00C858C8"/>
    <w:rsid w:val="00C860FB"/>
    <w:rsid w:val="00C87250"/>
    <w:rsid w:val="00C900DF"/>
    <w:rsid w:val="00C90D60"/>
    <w:rsid w:val="00C9118A"/>
    <w:rsid w:val="00C936FB"/>
    <w:rsid w:val="00C94148"/>
    <w:rsid w:val="00C951F3"/>
    <w:rsid w:val="00C97C75"/>
    <w:rsid w:val="00CA0F68"/>
    <w:rsid w:val="00CA1D1F"/>
    <w:rsid w:val="00CA23A2"/>
    <w:rsid w:val="00CA2429"/>
    <w:rsid w:val="00CA3B5D"/>
    <w:rsid w:val="00CA4D17"/>
    <w:rsid w:val="00CA594B"/>
    <w:rsid w:val="00CA5EA8"/>
    <w:rsid w:val="00CA6804"/>
    <w:rsid w:val="00CB0203"/>
    <w:rsid w:val="00CB2716"/>
    <w:rsid w:val="00CB29D7"/>
    <w:rsid w:val="00CB5141"/>
    <w:rsid w:val="00CB69F3"/>
    <w:rsid w:val="00CC094C"/>
    <w:rsid w:val="00CC1071"/>
    <w:rsid w:val="00CC130F"/>
    <w:rsid w:val="00CC28D6"/>
    <w:rsid w:val="00CC34F3"/>
    <w:rsid w:val="00CC653E"/>
    <w:rsid w:val="00CD0070"/>
    <w:rsid w:val="00CD03DB"/>
    <w:rsid w:val="00CD0FD6"/>
    <w:rsid w:val="00CD260B"/>
    <w:rsid w:val="00CD359B"/>
    <w:rsid w:val="00CD4504"/>
    <w:rsid w:val="00CD4CC7"/>
    <w:rsid w:val="00CD4FF0"/>
    <w:rsid w:val="00CE0805"/>
    <w:rsid w:val="00CE0D41"/>
    <w:rsid w:val="00CE22B7"/>
    <w:rsid w:val="00CE3E46"/>
    <w:rsid w:val="00CE47B9"/>
    <w:rsid w:val="00CE50CC"/>
    <w:rsid w:val="00CE695E"/>
    <w:rsid w:val="00CF1B61"/>
    <w:rsid w:val="00CF2E9E"/>
    <w:rsid w:val="00CF5A4F"/>
    <w:rsid w:val="00CF68E8"/>
    <w:rsid w:val="00CF71C5"/>
    <w:rsid w:val="00CF73CE"/>
    <w:rsid w:val="00D034C3"/>
    <w:rsid w:val="00D06266"/>
    <w:rsid w:val="00D065C9"/>
    <w:rsid w:val="00D068B2"/>
    <w:rsid w:val="00D0733E"/>
    <w:rsid w:val="00D07CE7"/>
    <w:rsid w:val="00D10BCB"/>
    <w:rsid w:val="00D10D37"/>
    <w:rsid w:val="00D11115"/>
    <w:rsid w:val="00D12435"/>
    <w:rsid w:val="00D143D0"/>
    <w:rsid w:val="00D15628"/>
    <w:rsid w:val="00D16539"/>
    <w:rsid w:val="00D16655"/>
    <w:rsid w:val="00D26597"/>
    <w:rsid w:val="00D26812"/>
    <w:rsid w:val="00D26E29"/>
    <w:rsid w:val="00D30429"/>
    <w:rsid w:val="00D31B32"/>
    <w:rsid w:val="00D31D67"/>
    <w:rsid w:val="00D31DCE"/>
    <w:rsid w:val="00D32B86"/>
    <w:rsid w:val="00D333CF"/>
    <w:rsid w:val="00D3474F"/>
    <w:rsid w:val="00D36822"/>
    <w:rsid w:val="00D3776F"/>
    <w:rsid w:val="00D42566"/>
    <w:rsid w:val="00D42917"/>
    <w:rsid w:val="00D43A8C"/>
    <w:rsid w:val="00D44361"/>
    <w:rsid w:val="00D473F9"/>
    <w:rsid w:val="00D47B66"/>
    <w:rsid w:val="00D521AD"/>
    <w:rsid w:val="00D52DF5"/>
    <w:rsid w:val="00D538A2"/>
    <w:rsid w:val="00D547E7"/>
    <w:rsid w:val="00D5744F"/>
    <w:rsid w:val="00D64BDB"/>
    <w:rsid w:val="00D6510D"/>
    <w:rsid w:val="00D661DC"/>
    <w:rsid w:val="00D66AC4"/>
    <w:rsid w:val="00D67D43"/>
    <w:rsid w:val="00D71261"/>
    <w:rsid w:val="00D72681"/>
    <w:rsid w:val="00D733C1"/>
    <w:rsid w:val="00D75956"/>
    <w:rsid w:val="00D76D46"/>
    <w:rsid w:val="00D774EB"/>
    <w:rsid w:val="00D77E6D"/>
    <w:rsid w:val="00D802AB"/>
    <w:rsid w:val="00D812CC"/>
    <w:rsid w:val="00D84021"/>
    <w:rsid w:val="00D8529E"/>
    <w:rsid w:val="00D856F0"/>
    <w:rsid w:val="00D87D36"/>
    <w:rsid w:val="00D90287"/>
    <w:rsid w:val="00D90D32"/>
    <w:rsid w:val="00D91A17"/>
    <w:rsid w:val="00D927CE"/>
    <w:rsid w:val="00D943EA"/>
    <w:rsid w:val="00D958B9"/>
    <w:rsid w:val="00D95FFB"/>
    <w:rsid w:val="00D96530"/>
    <w:rsid w:val="00D970CF"/>
    <w:rsid w:val="00DA035A"/>
    <w:rsid w:val="00DA0374"/>
    <w:rsid w:val="00DA1195"/>
    <w:rsid w:val="00DA1EC8"/>
    <w:rsid w:val="00DA5138"/>
    <w:rsid w:val="00DA5552"/>
    <w:rsid w:val="00DA6BAC"/>
    <w:rsid w:val="00DA7A8E"/>
    <w:rsid w:val="00DB0369"/>
    <w:rsid w:val="00DB078A"/>
    <w:rsid w:val="00DB10CB"/>
    <w:rsid w:val="00DB2097"/>
    <w:rsid w:val="00DB26A4"/>
    <w:rsid w:val="00DB2722"/>
    <w:rsid w:val="00DB37FF"/>
    <w:rsid w:val="00DB3CAA"/>
    <w:rsid w:val="00DB481D"/>
    <w:rsid w:val="00DB5BDA"/>
    <w:rsid w:val="00DB6FAF"/>
    <w:rsid w:val="00DC188F"/>
    <w:rsid w:val="00DC192A"/>
    <w:rsid w:val="00DC2E2F"/>
    <w:rsid w:val="00DC3692"/>
    <w:rsid w:val="00DC3C12"/>
    <w:rsid w:val="00DC42BA"/>
    <w:rsid w:val="00DC441D"/>
    <w:rsid w:val="00DC56EF"/>
    <w:rsid w:val="00DD1909"/>
    <w:rsid w:val="00DD26EC"/>
    <w:rsid w:val="00DD2791"/>
    <w:rsid w:val="00DD2B1E"/>
    <w:rsid w:val="00DD44BC"/>
    <w:rsid w:val="00DD506C"/>
    <w:rsid w:val="00DD5EF3"/>
    <w:rsid w:val="00DD6EE4"/>
    <w:rsid w:val="00DE01F0"/>
    <w:rsid w:val="00DE24F7"/>
    <w:rsid w:val="00DE4578"/>
    <w:rsid w:val="00DE4870"/>
    <w:rsid w:val="00DE5787"/>
    <w:rsid w:val="00DE624B"/>
    <w:rsid w:val="00DF3B11"/>
    <w:rsid w:val="00DF4BCB"/>
    <w:rsid w:val="00DF5B38"/>
    <w:rsid w:val="00DF638B"/>
    <w:rsid w:val="00E02F65"/>
    <w:rsid w:val="00E04395"/>
    <w:rsid w:val="00E054C0"/>
    <w:rsid w:val="00E07D6F"/>
    <w:rsid w:val="00E07F80"/>
    <w:rsid w:val="00E10CA2"/>
    <w:rsid w:val="00E10F3C"/>
    <w:rsid w:val="00E14756"/>
    <w:rsid w:val="00E1546D"/>
    <w:rsid w:val="00E247E0"/>
    <w:rsid w:val="00E25F11"/>
    <w:rsid w:val="00E31037"/>
    <w:rsid w:val="00E3328E"/>
    <w:rsid w:val="00E3361B"/>
    <w:rsid w:val="00E345A4"/>
    <w:rsid w:val="00E35D79"/>
    <w:rsid w:val="00E36793"/>
    <w:rsid w:val="00E370CB"/>
    <w:rsid w:val="00E4043A"/>
    <w:rsid w:val="00E40AA1"/>
    <w:rsid w:val="00E40D8C"/>
    <w:rsid w:val="00E41F2A"/>
    <w:rsid w:val="00E42AAF"/>
    <w:rsid w:val="00E4352C"/>
    <w:rsid w:val="00E439CE"/>
    <w:rsid w:val="00E44180"/>
    <w:rsid w:val="00E460D3"/>
    <w:rsid w:val="00E52E66"/>
    <w:rsid w:val="00E534A2"/>
    <w:rsid w:val="00E53D16"/>
    <w:rsid w:val="00E60587"/>
    <w:rsid w:val="00E610B3"/>
    <w:rsid w:val="00E656D5"/>
    <w:rsid w:val="00E6785E"/>
    <w:rsid w:val="00E67E41"/>
    <w:rsid w:val="00E73D06"/>
    <w:rsid w:val="00E74BF3"/>
    <w:rsid w:val="00E76DB8"/>
    <w:rsid w:val="00E7752E"/>
    <w:rsid w:val="00E8039A"/>
    <w:rsid w:val="00E80759"/>
    <w:rsid w:val="00E80FF4"/>
    <w:rsid w:val="00E82DD6"/>
    <w:rsid w:val="00E83262"/>
    <w:rsid w:val="00E84A34"/>
    <w:rsid w:val="00E8614A"/>
    <w:rsid w:val="00E8700C"/>
    <w:rsid w:val="00E949F6"/>
    <w:rsid w:val="00E94F46"/>
    <w:rsid w:val="00E95BAD"/>
    <w:rsid w:val="00E972E6"/>
    <w:rsid w:val="00E97B2C"/>
    <w:rsid w:val="00EA3043"/>
    <w:rsid w:val="00EA31C9"/>
    <w:rsid w:val="00EA33C6"/>
    <w:rsid w:val="00EA4EB9"/>
    <w:rsid w:val="00EB1D5E"/>
    <w:rsid w:val="00EB28C2"/>
    <w:rsid w:val="00EB29F2"/>
    <w:rsid w:val="00EB2C09"/>
    <w:rsid w:val="00EB2D4B"/>
    <w:rsid w:val="00EB45CD"/>
    <w:rsid w:val="00EB51FF"/>
    <w:rsid w:val="00EB55C9"/>
    <w:rsid w:val="00EB5A0F"/>
    <w:rsid w:val="00EB5FC6"/>
    <w:rsid w:val="00EC0A8B"/>
    <w:rsid w:val="00EC3ADE"/>
    <w:rsid w:val="00EC408F"/>
    <w:rsid w:val="00EC4B93"/>
    <w:rsid w:val="00ED0C68"/>
    <w:rsid w:val="00ED2A51"/>
    <w:rsid w:val="00ED2B1A"/>
    <w:rsid w:val="00ED3868"/>
    <w:rsid w:val="00ED4D98"/>
    <w:rsid w:val="00ED749B"/>
    <w:rsid w:val="00EE0703"/>
    <w:rsid w:val="00EE26DB"/>
    <w:rsid w:val="00EE4B3F"/>
    <w:rsid w:val="00EE503E"/>
    <w:rsid w:val="00EE5EF1"/>
    <w:rsid w:val="00EE6682"/>
    <w:rsid w:val="00EE7FA3"/>
    <w:rsid w:val="00EF0642"/>
    <w:rsid w:val="00EF40AE"/>
    <w:rsid w:val="00EF6A03"/>
    <w:rsid w:val="00F006E6"/>
    <w:rsid w:val="00F00973"/>
    <w:rsid w:val="00F01A33"/>
    <w:rsid w:val="00F03DA6"/>
    <w:rsid w:val="00F03FD8"/>
    <w:rsid w:val="00F06A7D"/>
    <w:rsid w:val="00F1092E"/>
    <w:rsid w:val="00F1370B"/>
    <w:rsid w:val="00F13867"/>
    <w:rsid w:val="00F15304"/>
    <w:rsid w:val="00F22F3C"/>
    <w:rsid w:val="00F23727"/>
    <w:rsid w:val="00F26C26"/>
    <w:rsid w:val="00F27B11"/>
    <w:rsid w:val="00F27E20"/>
    <w:rsid w:val="00F31D79"/>
    <w:rsid w:val="00F35779"/>
    <w:rsid w:val="00F35F2A"/>
    <w:rsid w:val="00F366B2"/>
    <w:rsid w:val="00F4057C"/>
    <w:rsid w:val="00F40AB5"/>
    <w:rsid w:val="00F447C0"/>
    <w:rsid w:val="00F45852"/>
    <w:rsid w:val="00F45E1E"/>
    <w:rsid w:val="00F46D52"/>
    <w:rsid w:val="00F50046"/>
    <w:rsid w:val="00F501B9"/>
    <w:rsid w:val="00F51DED"/>
    <w:rsid w:val="00F52506"/>
    <w:rsid w:val="00F52B12"/>
    <w:rsid w:val="00F538F1"/>
    <w:rsid w:val="00F55BAE"/>
    <w:rsid w:val="00F55E13"/>
    <w:rsid w:val="00F5635F"/>
    <w:rsid w:val="00F56BDA"/>
    <w:rsid w:val="00F56F14"/>
    <w:rsid w:val="00F57AF0"/>
    <w:rsid w:val="00F6126C"/>
    <w:rsid w:val="00F61434"/>
    <w:rsid w:val="00F62BC9"/>
    <w:rsid w:val="00F649D1"/>
    <w:rsid w:val="00F65483"/>
    <w:rsid w:val="00F66D62"/>
    <w:rsid w:val="00F66F93"/>
    <w:rsid w:val="00F67CEC"/>
    <w:rsid w:val="00F715E8"/>
    <w:rsid w:val="00F72885"/>
    <w:rsid w:val="00F7353C"/>
    <w:rsid w:val="00F73E19"/>
    <w:rsid w:val="00F75949"/>
    <w:rsid w:val="00F75C8E"/>
    <w:rsid w:val="00F77082"/>
    <w:rsid w:val="00F770E0"/>
    <w:rsid w:val="00F7724C"/>
    <w:rsid w:val="00F80DB1"/>
    <w:rsid w:val="00F82348"/>
    <w:rsid w:val="00F855A1"/>
    <w:rsid w:val="00F8590D"/>
    <w:rsid w:val="00F947D8"/>
    <w:rsid w:val="00F957BF"/>
    <w:rsid w:val="00F959E7"/>
    <w:rsid w:val="00F97275"/>
    <w:rsid w:val="00F97A65"/>
    <w:rsid w:val="00FA0F12"/>
    <w:rsid w:val="00FA17AD"/>
    <w:rsid w:val="00FA2FDE"/>
    <w:rsid w:val="00FA3D46"/>
    <w:rsid w:val="00FA42F3"/>
    <w:rsid w:val="00FA4776"/>
    <w:rsid w:val="00FA52ED"/>
    <w:rsid w:val="00FA73EC"/>
    <w:rsid w:val="00FA7D1C"/>
    <w:rsid w:val="00FB0067"/>
    <w:rsid w:val="00FB100E"/>
    <w:rsid w:val="00FB44DA"/>
    <w:rsid w:val="00FB4ACC"/>
    <w:rsid w:val="00FB5500"/>
    <w:rsid w:val="00FB6804"/>
    <w:rsid w:val="00FB69F7"/>
    <w:rsid w:val="00FB6B4C"/>
    <w:rsid w:val="00FB71D6"/>
    <w:rsid w:val="00FC02A7"/>
    <w:rsid w:val="00FC0E5E"/>
    <w:rsid w:val="00FC291D"/>
    <w:rsid w:val="00FC4BFB"/>
    <w:rsid w:val="00FC5C35"/>
    <w:rsid w:val="00FC6D67"/>
    <w:rsid w:val="00FC7EFA"/>
    <w:rsid w:val="00FD1F8C"/>
    <w:rsid w:val="00FD2FA5"/>
    <w:rsid w:val="00FD2FB9"/>
    <w:rsid w:val="00FD5F8A"/>
    <w:rsid w:val="00FD63E8"/>
    <w:rsid w:val="00FD7252"/>
    <w:rsid w:val="00FD7F67"/>
    <w:rsid w:val="00FD7F7D"/>
    <w:rsid w:val="00FE3248"/>
    <w:rsid w:val="00FE416F"/>
    <w:rsid w:val="00FE4F86"/>
    <w:rsid w:val="00FE6198"/>
    <w:rsid w:val="00FE6397"/>
    <w:rsid w:val="00FE63AB"/>
    <w:rsid w:val="00FE6CE4"/>
    <w:rsid w:val="00FF2BF9"/>
    <w:rsid w:val="00FF343F"/>
    <w:rsid w:val="00FF3B9E"/>
    <w:rsid w:val="00FF4F75"/>
    <w:rsid w:val="00FF5CA1"/>
    <w:rsid w:val="205461BE"/>
    <w:rsid w:val="23010AF7"/>
    <w:rsid w:val="233F2856"/>
    <w:rsid w:val="247F7DE4"/>
    <w:rsid w:val="27692035"/>
    <w:rsid w:val="2FD524F2"/>
    <w:rsid w:val="31AC3BDA"/>
    <w:rsid w:val="349C5A1E"/>
    <w:rsid w:val="3FF5537F"/>
    <w:rsid w:val="4DC452E2"/>
    <w:rsid w:val="4DE46C6F"/>
    <w:rsid w:val="61FC1ED0"/>
    <w:rsid w:val="6F3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18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unhideWhenUsed/>
    <w:uiPriority w:val="99"/>
    <w:pPr>
      <w:jc w:val="left"/>
    </w:pPr>
  </w:style>
  <w:style w:type="paragraph" w:styleId="5">
    <w:name w:val="Balloon Text"/>
    <w:basedOn w:val="1"/>
    <w:link w:val="22"/>
    <w:unhideWhenUsed/>
    <w:uiPriority w:val="99"/>
    <w:rPr>
      <w:kern w:val="0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32"/>
    <w:semiHidden/>
    <w:unhideWhenUsed/>
    <w:qFormat/>
    <w:uiPriority w:val="99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Light Shading Accent 2"/>
    <w:basedOn w:val="10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</w:tcPr>
    </w:tblStylePr>
  </w:style>
  <w:style w:type="table" w:styleId="13">
    <w:name w:val="Light Shading Accent 3"/>
    <w:basedOn w:val="10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</w:style>
  <w:style w:type="table" w:styleId="14">
    <w:name w:val="Light Shading Accent 4"/>
    <w:basedOn w:val="10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</w:style>
  <w:style w:type="character" w:styleId="16">
    <w:name w:val="page number"/>
    <w:basedOn w:val="15"/>
    <w:uiPriority w:val="0"/>
  </w:style>
  <w:style w:type="character" w:styleId="17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8">
    <w:name w:val="标题 3 Char"/>
    <w:basedOn w:val="15"/>
    <w:link w:val="3"/>
    <w:uiPriority w:val="0"/>
    <w:rPr>
      <w:b/>
      <w:bCs/>
      <w:kern w:val="2"/>
      <w:sz w:val="32"/>
      <w:szCs w:val="32"/>
    </w:rPr>
  </w:style>
  <w:style w:type="character" w:customStyle="1" w:styleId="19">
    <w:name w:val="页眉 Char"/>
    <w:link w:val="7"/>
    <w:qFormat/>
    <w:uiPriority w:val="99"/>
    <w:rPr>
      <w:sz w:val="18"/>
      <w:szCs w:val="18"/>
    </w:rPr>
  </w:style>
  <w:style w:type="character" w:customStyle="1" w:styleId="20">
    <w:name w:val="页脚 Char"/>
    <w:link w:val="6"/>
    <w:qFormat/>
    <w:uiPriority w:val="99"/>
    <w:rPr>
      <w:sz w:val="18"/>
      <w:szCs w:val="18"/>
    </w:rPr>
  </w:style>
  <w:style w:type="character" w:customStyle="1" w:styleId="21">
    <w:name w:val="批注文字 Char"/>
    <w:basedOn w:val="15"/>
    <w:link w:val="4"/>
    <w:semiHidden/>
    <w:qFormat/>
    <w:uiPriority w:val="99"/>
  </w:style>
  <w:style w:type="character" w:customStyle="1" w:styleId="22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23">
    <w:name w:val="标题 2 Char"/>
    <w:basedOn w:val="15"/>
    <w:link w:val="2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24">
    <w:name w:val="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6">
    <w:name w:val="Char Char1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27">
    <w:name w:val="Char"/>
    <w:basedOn w:val="1"/>
    <w:qFormat/>
    <w:uiPriority w:val="0"/>
    <w:rPr>
      <w:rFonts w:ascii="Tahoma" w:hAnsi="Tahoma" w:cs="Tahoma"/>
      <w:sz w:val="24"/>
      <w:szCs w:val="24"/>
    </w:rPr>
  </w:style>
  <w:style w:type="paragraph" w:customStyle="1" w:styleId="28">
    <w:name w:val="Char Char Char"/>
    <w:basedOn w:val="1"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9">
    <w:name w:val="Char1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  <w:szCs w:val="24"/>
    </w:rPr>
  </w:style>
  <w:style w:type="paragraph" w:customStyle="1" w:styleId="30">
    <w:name w:val="列出段落1"/>
    <w:basedOn w:val="1"/>
    <w:qFormat/>
    <w:uiPriority w:val="0"/>
    <w:pPr>
      <w:ind w:firstLine="420" w:firstLineChars="200"/>
    </w:pPr>
  </w:style>
  <w:style w:type="table" w:customStyle="1" w:styleId="31">
    <w:name w:val="浅色底纹1"/>
    <w:basedOn w:val="10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character" w:customStyle="1" w:styleId="32">
    <w:name w:val="批注主题 Char"/>
    <w:basedOn w:val="21"/>
    <w:link w:val="9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chart" Target="charts/chart14.xml"/><Relationship Id="rId2" Type="http://schemas.openxmlformats.org/officeDocument/2006/relationships/settings" Target="settings.xml"/><Relationship Id="rId19" Type="http://schemas.openxmlformats.org/officeDocument/2006/relationships/chart" Target="charts/chart13.xml"/><Relationship Id="rId18" Type="http://schemas.openxmlformats.org/officeDocument/2006/relationships/chart" Target="charts/chart12.xml"/><Relationship Id="rId17" Type="http://schemas.openxmlformats.org/officeDocument/2006/relationships/chart" Target="charts/chart11.xml"/><Relationship Id="rId16" Type="http://schemas.openxmlformats.org/officeDocument/2006/relationships/chart" Target="charts/chart10.xml"/><Relationship Id="rId15" Type="http://schemas.openxmlformats.org/officeDocument/2006/relationships/chart" Target="charts/chart9.xml"/><Relationship Id="rId14" Type="http://schemas.openxmlformats.org/officeDocument/2006/relationships/chart" Target="charts/chart8.xml"/><Relationship Id="rId13" Type="http://schemas.openxmlformats.org/officeDocument/2006/relationships/chart" Target="charts/chart7.xml"/><Relationship Id="rId12" Type="http://schemas.openxmlformats.org/officeDocument/2006/relationships/chart" Target="charts/chart6.xml"/><Relationship Id="rId11" Type="http://schemas.openxmlformats.org/officeDocument/2006/relationships/chart" Target="charts/chart5.xml"/><Relationship Id="rId10" Type="http://schemas.openxmlformats.org/officeDocument/2006/relationships/chart" Target="charts/chart4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package" Target="../embeddings/Workbook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package" Target="../embeddings/Workbook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package" Target="../embeddings/Workbook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package" Target="../embeddings/Workbook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8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9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63583815028902"/>
          <c:y val="0.115264797507788"/>
          <c:w val="0.942196531791906"/>
          <c:h val="0.6573208722741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2019年</c:v>
                </c:pt>
              </c:strCache>
            </c:strRef>
          </c:tx>
          <c:spPr>
            <a:solidFill>
              <a:srgbClr val="FF6600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00115186208353988"/>
                  <c:y val="0.16141589632267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0743556971635087"/>
                  <c:y val="0.20031817211698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111002033465366"/>
                  <c:y val="0.1365193364859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117804372065776"/>
                  <c:y val="0.096194316866846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6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45" b="1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Sheet1!$B$1:$E$1</c:f>
              <c:strCache>
                <c:ptCount val="4"/>
                <c:pt idx="0">
                  <c:v>事故件数</c:v>
                </c:pt>
                <c:pt idx="1">
                  <c:v>死亡人数</c:v>
                </c:pt>
                <c:pt idx="2">
                  <c:v>沉船艘数</c:v>
                </c:pt>
                <c:pt idx="3">
                  <c:v>经济损失(百万）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</c:v>
                </c:pt>
                <c:pt idx="1">
                  <c:v>45</c:v>
                </c:pt>
                <c:pt idx="2">
                  <c:v>17</c:v>
                </c:pt>
                <c:pt idx="3">
                  <c:v>55.56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2018年</c:v>
                </c:pt>
              </c:strCache>
            </c:strRef>
          </c:tx>
          <c:spPr>
            <a:solidFill>
              <a:srgbClr val="99CC00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00351249497477106"/>
                  <c:y val="0.13081221199460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165910315766383"/>
                  <c:y val="0.16169018178668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308464755902912"/>
                  <c:y val="0.1048688419506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36396429837187"/>
                  <c:y val="0.12610763546648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6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45" b="1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Sheet1!$B$1:$E$1</c:f>
              <c:strCache>
                <c:ptCount val="4"/>
                <c:pt idx="0">
                  <c:v>事故件数</c:v>
                </c:pt>
                <c:pt idx="1">
                  <c:v>死亡人数</c:v>
                </c:pt>
                <c:pt idx="2">
                  <c:v>沉船艘数</c:v>
                </c:pt>
                <c:pt idx="3">
                  <c:v>经济损失(百万）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35</c:v>
                </c:pt>
                <c:pt idx="1">
                  <c:v>53</c:v>
                </c:pt>
                <c:pt idx="2">
                  <c:v>23</c:v>
                </c:pt>
                <c:pt idx="3">
                  <c:v>83.04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0864640"/>
        <c:axId val="130866176"/>
      </c:barChart>
      <c:catAx>
        <c:axId val="13086464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67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2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0866176"/>
        <c:crossesAt val="0"/>
        <c:auto val="1"/>
        <c:lblAlgn val="ctr"/>
        <c:lblOffset val="100"/>
        <c:tickLblSkip val="1"/>
        <c:noMultiLvlLbl val="0"/>
      </c:catAx>
      <c:valAx>
        <c:axId val="130866176"/>
        <c:scaling>
          <c:orientation val="minMax"/>
          <c:max val="85"/>
          <c:min val="0"/>
        </c:scaling>
        <c:delete val="0"/>
        <c:axPos val="l"/>
        <c:majorGridlines>
          <c:spPr>
            <a:ln w="3167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out"/>
        <c:tickLblPos val="nextTo"/>
        <c:spPr>
          <a:ln w="9501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4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0864640"/>
        <c:crosses val="autoZero"/>
        <c:crossBetween val="between"/>
        <c:majorUnit val="5"/>
        <c:minorUnit val="1"/>
      </c:valAx>
      <c:spPr>
        <a:solidFill>
          <a:srgbClr val="FFFFCC"/>
        </a:solidFill>
        <a:ln w="12700">
          <a:solidFill>
            <a:srgbClr val="000000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64161849710983"/>
          <c:y val="0.88785046728972"/>
          <c:w val="0.278901734104047"/>
          <c:h val="0.0996884735202495"/>
        </c:manualLayout>
      </c:layout>
      <c:overlay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67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1095" b="1" i="0" u="none" strike="noStrike" kern="1200" baseline="0">
              <a:solidFill>
                <a:srgbClr val="000000"/>
              </a:solidFill>
              <a:latin typeface="隶书" panose="02010509060101010101" charset="-122"/>
              <a:ea typeface="隶书" panose="02010509060101010101" charset="-122"/>
              <a:cs typeface="隶书" panose="02010509060101010101" charset="-122"/>
            </a:defRPr>
          </a:pPr>
        </a:p>
      </c:txPr>
    </c:legend>
    <c:plotVisOnly val="1"/>
    <c:dispBlanksAs val="gap"/>
    <c:showDLblsOverMax val="0"/>
  </c:chart>
  <c:spPr>
    <a:gradFill rotWithShape="0">
      <a:gsLst>
        <a:gs pos="0">
          <a:srgbClr val="CCFFCC">
            <a:gamma/>
            <a:shade val="46275"/>
            <a:invGamma/>
          </a:srgbClr>
        </a:gs>
        <a:gs pos="100000">
          <a:srgbClr val="CCFFCC"/>
        </a:gs>
      </a:gsLst>
      <a:lin ang="5400000" scaled="1"/>
    </a:gradFill>
    <a:ln w="3167" cap="flat" cmpd="sng" algn="ctr">
      <a:solidFill>
        <a:srgbClr val="000000"/>
      </a:solidFill>
      <a:prstDash val="solid"/>
      <a:round/>
    </a:ln>
  </c:spPr>
  <c:txPr>
    <a:bodyPr/>
    <a:lstStyle/>
    <a:p>
      <a:pPr>
        <a:defRPr lang="zh-CN" sz="119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35714285714286"/>
          <c:y val="0.034351145038168"/>
          <c:w val="0.922077922077921"/>
          <c:h val="0.851145038167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事故件数</c:v>
                </c:pt>
              </c:strCache>
            </c:strRef>
          </c:tx>
          <c:spPr>
            <a:solidFill>
              <a:srgbClr val="000080"/>
            </a:solidFill>
            <a:ln w="12692">
              <a:solidFill>
                <a:srgbClr val="00008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第一季度</c:v>
                </c:pt>
                <c:pt idx="1">
                  <c:v>第二季度</c:v>
                </c:pt>
                <c:pt idx="2">
                  <c:v>第三季度</c:v>
                </c:pt>
                <c:pt idx="3">
                  <c:v>第四季度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死亡人数</c:v>
                </c:pt>
              </c:strCache>
            </c:strRef>
          </c:tx>
          <c:spPr>
            <a:solidFill>
              <a:srgbClr val="FF0000"/>
            </a:solidFill>
            <a:ln w="12692">
              <a:solidFill>
                <a:srgbClr val="FF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第一季度</c:v>
                </c:pt>
                <c:pt idx="1">
                  <c:v>第二季度</c:v>
                </c:pt>
                <c:pt idx="2">
                  <c:v>第三季度</c:v>
                </c:pt>
                <c:pt idx="3">
                  <c:v>第四季度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</c:v>
                </c:pt>
                <c:pt idx="1">
                  <c:v>5</c:v>
                </c:pt>
                <c:pt idx="2">
                  <c:v>16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沉船艘数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2692">
              <a:solidFill>
                <a:srgbClr val="FFFF99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第一季度</c:v>
                </c:pt>
                <c:pt idx="1">
                  <c:v>第二季度</c:v>
                </c:pt>
                <c:pt idx="2">
                  <c:v>第三季度</c:v>
                </c:pt>
                <c:pt idx="3">
                  <c:v>第四季度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经济损失</c:v>
                </c:pt>
              </c:strCache>
            </c:strRef>
          </c:tx>
          <c:spPr>
            <a:solidFill>
              <a:srgbClr val="CCFFFF"/>
            </a:solidFill>
            <a:ln w="38077">
              <a:pattFill prst="pct50">
                <a:fgClr>
                  <a:srgbClr val="CCFFFF"/>
                </a:fgClr>
                <a:bgClr>
                  <a:srgbClr val="FFFFFF"/>
                </a:bgClr>
              </a:patt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800080"/>
              </a:solidFill>
              <a:ln w="25385"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660066"/>
              </a:solidFill>
              <a:ln w="25385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660066"/>
              </a:solidFill>
              <a:ln w="25385"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rgbClr val="660066"/>
              </a:solidFill>
              <a:ln w="25385">
                <a:noFill/>
              </a:ln>
            </c:spPr>
          </c:dPt>
          <c:dLbls>
            <c:delete val="1"/>
          </c:dLbls>
          <c:cat>
            <c:strRef>
              <c:f>Sheet1!$B$1:$E$1</c:f>
              <c:strCache>
                <c:ptCount val="4"/>
                <c:pt idx="0">
                  <c:v>第一季度</c:v>
                </c:pt>
                <c:pt idx="1">
                  <c:v>第二季度</c:v>
                </c:pt>
                <c:pt idx="2">
                  <c:v>第三季度</c:v>
                </c:pt>
                <c:pt idx="3">
                  <c:v>第四季度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22.81</c:v>
                </c:pt>
                <c:pt idx="1">
                  <c:v>1.1</c:v>
                </c:pt>
                <c:pt idx="2">
                  <c:v>23.15</c:v>
                </c:pt>
                <c:pt idx="3">
                  <c:v>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801088"/>
        <c:axId val="133802624"/>
      </c:barChart>
      <c:catAx>
        <c:axId val="13380108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3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57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3802624"/>
        <c:crosses val="autoZero"/>
        <c:auto val="1"/>
        <c:lblAlgn val="ctr"/>
        <c:lblOffset val="100"/>
        <c:tickLblSkip val="1"/>
        <c:noMultiLvlLbl val="0"/>
      </c:catAx>
      <c:valAx>
        <c:axId val="133802624"/>
        <c:scaling>
          <c:orientation val="minMax"/>
          <c:max val="25"/>
          <c:min val="0"/>
        </c:scaling>
        <c:delete val="0"/>
        <c:axPos val="l"/>
        <c:majorGridlines>
          <c:spPr>
            <a:ln w="3173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in"/>
        <c:minorTickMark val="none"/>
        <c:tickLblPos val="nextTo"/>
        <c:spPr>
          <a:ln w="3173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575" b="0" i="0" u="none" strike="noStrike" kern="1200" baseline="0">
                <a:solidFill>
                  <a:srgbClr val="000000"/>
                </a:solidFill>
                <a:latin typeface="隶书" panose="02010509060101010101" charset="-122"/>
                <a:ea typeface="隶书" panose="02010509060101010101" charset="-122"/>
                <a:cs typeface="隶书" panose="02010509060101010101" charset="-122"/>
              </a:defRPr>
            </a:pPr>
          </a:p>
        </c:txPr>
        <c:crossAx val="133801088"/>
        <c:crosses val="autoZero"/>
        <c:crossBetween val="between"/>
        <c:majorUnit val="5"/>
        <c:minorUnit val="2"/>
      </c:valAx>
      <c:spPr>
        <a:solidFill>
          <a:srgbClr val="FFFFFF"/>
        </a:solidFill>
        <a:ln w="12692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88279974238049"/>
          <c:y val="0.0617027856412209"/>
          <c:w val="0.344155844155844"/>
          <c:h val="0.145038167938931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25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</a:p>
      </c:txPr>
    </c:legend>
    <c:plotVisOnly val="1"/>
    <c:dispBlanksAs val="gap"/>
    <c:showDLblsOverMax val="0"/>
  </c:chart>
  <c:spPr>
    <a:solidFill>
      <a:srgbClr val="CCFFFF"/>
    </a:solidFill>
    <a:ln w="9525" cap="flat" cmpd="sng" algn="ctr">
      <a:noFill/>
      <a:prstDash val="solid"/>
      <a:round/>
    </a:ln>
  </c:spPr>
  <c:txPr>
    <a:bodyPr/>
    <a:lstStyle/>
    <a:p>
      <a:pPr>
        <a:defRPr lang="zh-CN" sz="102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48387096774194"/>
          <c:y val="0.114624505928854"/>
          <c:w val="0.943548387096774"/>
          <c:h val="0.59288537549407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2019年第四季度</c:v>
                </c:pt>
              </c:strCache>
            </c:strRef>
          </c:tx>
          <c:spPr>
            <a:solidFill>
              <a:srgbClr val="FF66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0.00614839189877386"/>
                  <c:y val="0.016086184231945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818899240322148"/>
                  <c:y val="0.11473274144458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282224344680019"/>
                  <c:y val="0.007063046872216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481057865375419"/>
                  <c:y val="0.02111879423385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8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25" b="1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Sheet1!$B$1:$E$1</c:f>
              <c:strCache>
                <c:ptCount val="4"/>
                <c:pt idx="0">
                  <c:v>事故件数</c:v>
                </c:pt>
                <c:pt idx="1">
                  <c:v>死亡人数</c:v>
                </c:pt>
                <c:pt idx="2">
                  <c:v>沉船艘数</c:v>
                </c:pt>
                <c:pt idx="3">
                  <c:v>经济损失(百万）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4</c:v>
                </c:pt>
                <c:pt idx="3">
                  <c:v>8.5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2018年第四季度</c:v>
                </c:pt>
              </c:strCache>
            </c:strRef>
          </c:tx>
          <c:spPr>
            <a:solidFill>
              <a:srgbClr val="99CC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00496515276160359"/>
                  <c:y val="0.14730327562827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314604500760336"/>
                  <c:y val="0.018304297584049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0367138904624846"/>
                  <c:y val="0.12880406952950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111370491849984"/>
                  <c:y val="0.13815641208537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8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25" b="1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Sheet1!$B$1:$E$1</c:f>
              <c:strCache>
                <c:ptCount val="4"/>
                <c:pt idx="0">
                  <c:v>事故件数</c:v>
                </c:pt>
                <c:pt idx="1">
                  <c:v>死亡人数</c:v>
                </c:pt>
                <c:pt idx="2">
                  <c:v>沉船艘数</c:v>
                </c:pt>
                <c:pt idx="3">
                  <c:v>经济损失(百万）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4</c:v>
                </c:pt>
                <c:pt idx="3">
                  <c:v>15.29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370496"/>
        <c:axId val="139372032"/>
      </c:barChart>
      <c:catAx>
        <c:axId val="1393704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7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9372032"/>
        <c:crossesAt val="0"/>
        <c:auto val="1"/>
        <c:lblAlgn val="ctr"/>
        <c:lblOffset val="100"/>
        <c:tickLblSkip val="1"/>
        <c:noMultiLvlLbl val="0"/>
      </c:catAx>
      <c:valAx>
        <c:axId val="139372032"/>
        <c:scaling>
          <c:orientation val="minMax"/>
          <c:max val="16"/>
          <c:min val="0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out"/>
        <c:tickLblPos val="nextTo"/>
        <c:spPr>
          <a:ln w="9524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7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9370496"/>
        <c:crosses val="autoZero"/>
        <c:crossBetween val="between"/>
        <c:majorUnit val="4"/>
        <c:minorUnit val="1"/>
      </c:valAx>
      <c:spPr>
        <a:solidFill>
          <a:srgbClr val="FFFFCC"/>
        </a:solidFill>
        <a:ln w="12700">
          <a:solidFill>
            <a:srgbClr val="000000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208064516129032"/>
          <c:y val="0.857707509881423"/>
          <c:w val="0.582258064516128"/>
          <c:h val="0.126482213438735"/>
        </c:manualLayout>
      </c:layout>
      <c:overlay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1100" b="1" i="0" u="none" strike="noStrike" kern="1200" baseline="0">
              <a:solidFill>
                <a:srgbClr val="000000"/>
              </a:solidFill>
              <a:latin typeface="隶书" panose="02010509060101010101" charset="-122"/>
              <a:ea typeface="隶书" panose="02010509060101010101" charset="-122"/>
              <a:cs typeface="隶书" panose="02010509060101010101" charset="-122"/>
            </a:defRPr>
          </a:pPr>
        </a:p>
      </c:txPr>
    </c:legend>
    <c:plotVisOnly val="1"/>
    <c:dispBlanksAs val="gap"/>
    <c:showDLblsOverMax val="0"/>
  </c:chart>
  <c:spPr>
    <a:gradFill rotWithShape="0">
      <a:gsLst>
        <a:gs pos="0">
          <a:srgbClr val="CCFFCC">
            <a:gamma/>
            <a:shade val="46275"/>
            <a:invGamma/>
          </a:srgbClr>
        </a:gs>
        <a:gs pos="100000">
          <a:srgbClr val="CCFFCC"/>
        </a:gs>
      </a:gsLst>
      <a:lin ang="5400000" scaled="1"/>
    </a:gra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48387096774194"/>
          <c:y val="0.114624505928854"/>
          <c:w val="0.943548387096774"/>
          <c:h val="0.59288537549407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2019年第四季度</c:v>
                </c:pt>
              </c:strCache>
            </c:strRef>
          </c:tx>
          <c:spPr>
            <a:solidFill>
              <a:srgbClr val="FF66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0.00388697172690593"/>
                  <c:y val="0.021455997341308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818899240322148"/>
                  <c:y val="0.11473274144458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282224344680019"/>
                  <c:y val="0.007063046872216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481057865375419"/>
                  <c:y val="0.02111879423385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8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25" b="1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Sheet1!$B$1:$E$1</c:f>
              <c:strCache>
                <c:ptCount val="4"/>
                <c:pt idx="0">
                  <c:v>事故件数</c:v>
                </c:pt>
                <c:pt idx="1">
                  <c:v>死亡人数</c:v>
                </c:pt>
                <c:pt idx="2">
                  <c:v>沉船艘数</c:v>
                </c:pt>
                <c:pt idx="3">
                  <c:v>经济损失(百万）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2.5</c:v>
                </c:pt>
                <c:pt idx="1">
                  <c:v>8</c:v>
                </c:pt>
                <c:pt idx="2">
                  <c:v>3</c:v>
                </c:pt>
                <c:pt idx="3">
                  <c:v>3.5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2018年第四季度</c:v>
                </c:pt>
              </c:strCache>
            </c:strRef>
          </c:tx>
          <c:spPr>
            <a:solidFill>
              <a:srgbClr val="99CC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00270373258973565"/>
                  <c:y val="0.12045421008146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314604500760336"/>
                  <c:y val="0.012934484474686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262858933678067"/>
                  <c:y val="0.026777608978665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469283966959106"/>
                  <c:y val="0.1381565676964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8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25" b="1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Sheet1!$B$1:$E$1</c:f>
              <c:strCache>
                <c:ptCount val="4"/>
                <c:pt idx="0">
                  <c:v>事故件数</c:v>
                </c:pt>
                <c:pt idx="1">
                  <c:v>死亡人数</c:v>
                </c:pt>
                <c:pt idx="2">
                  <c:v>沉船艘数</c:v>
                </c:pt>
                <c:pt idx="3">
                  <c:v>经济损失(百万）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4.5</c:v>
                </c:pt>
                <c:pt idx="1">
                  <c:v>2</c:v>
                </c:pt>
                <c:pt idx="2">
                  <c:v>4</c:v>
                </c:pt>
                <c:pt idx="3">
                  <c:v>15.2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0853504"/>
        <c:axId val="139198848"/>
      </c:barChart>
      <c:catAx>
        <c:axId val="1308535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7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9198848"/>
        <c:crossesAt val="0"/>
        <c:auto val="1"/>
        <c:lblAlgn val="ctr"/>
        <c:lblOffset val="100"/>
        <c:tickLblSkip val="1"/>
        <c:noMultiLvlLbl val="0"/>
      </c:catAx>
      <c:valAx>
        <c:axId val="139198848"/>
        <c:scaling>
          <c:orientation val="minMax"/>
          <c:max val="16"/>
          <c:min val="0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out"/>
        <c:tickLblPos val="nextTo"/>
        <c:spPr>
          <a:ln w="9524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7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0853504"/>
        <c:crosses val="autoZero"/>
        <c:crossBetween val="between"/>
        <c:majorUnit val="4"/>
        <c:minorUnit val="1"/>
      </c:valAx>
      <c:spPr>
        <a:solidFill>
          <a:srgbClr val="FFFFCC"/>
        </a:solidFill>
        <a:ln w="12700">
          <a:solidFill>
            <a:srgbClr val="000000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208064516129032"/>
          <c:y val="0.857707509881423"/>
          <c:w val="0.582258064516128"/>
          <c:h val="0.126482213438735"/>
        </c:manualLayout>
      </c:layout>
      <c:overlay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1100" b="1" i="0" u="none" strike="noStrike" kern="1200" baseline="0">
              <a:solidFill>
                <a:srgbClr val="000000"/>
              </a:solidFill>
              <a:latin typeface="隶书" panose="02010509060101010101" charset="-122"/>
              <a:ea typeface="隶书" panose="02010509060101010101" charset="-122"/>
              <a:cs typeface="隶书" panose="02010509060101010101" charset="-122"/>
            </a:defRPr>
          </a:pPr>
        </a:p>
      </c:txPr>
    </c:legend>
    <c:plotVisOnly val="1"/>
    <c:dispBlanksAs val="gap"/>
    <c:showDLblsOverMax val="0"/>
  </c:chart>
  <c:spPr>
    <a:gradFill rotWithShape="0">
      <a:gsLst>
        <a:gs pos="0">
          <a:srgbClr val="CCFFCC">
            <a:gamma/>
            <a:shade val="46275"/>
            <a:invGamma/>
          </a:srgbClr>
        </a:gs>
        <a:gs pos="100000">
          <a:srgbClr val="CCFFCC"/>
        </a:gs>
      </a:gsLst>
      <a:lin ang="5400000" scaled="1"/>
    </a:gra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zh-CN" sz="10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360610263522885"/>
          <c:y val="0.0733333333333335"/>
          <c:w val="0.94868238557559"/>
          <c:h val="0.726666666666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事故件数（件）</c:v>
                </c:pt>
              </c:strCache>
            </c:strRef>
          </c:tx>
          <c:spPr>
            <a:solidFill>
              <a:srgbClr val="9999FF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宁波局</c:v>
                </c:pt>
                <c:pt idx="1">
                  <c:v>舟山局</c:v>
                </c:pt>
                <c:pt idx="2">
                  <c:v>温州局</c:v>
                </c:pt>
                <c:pt idx="3">
                  <c:v>台州局</c:v>
                </c:pt>
                <c:pt idx="4">
                  <c:v>嘉兴局</c:v>
                </c:pt>
                <c:pt idx="5">
                  <c:v>杭州局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死亡失踪人数（人）</c:v>
                </c:pt>
              </c:strCache>
            </c:strRef>
          </c:tx>
          <c:spPr>
            <a:solidFill>
              <a:srgbClr val="FF0000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宁波局</c:v>
                </c:pt>
                <c:pt idx="1">
                  <c:v>舟山局</c:v>
                </c:pt>
                <c:pt idx="2">
                  <c:v>温州局</c:v>
                </c:pt>
                <c:pt idx="3">
                  <c:v>台州局</c:v>
                </c:pt>
                <c:pt idx="4">
                  <c:v>嘉兴局</c:v>
                </c:pt>
                <c:pt idx="5">
                  <c:v>杭州局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4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沉船艘数（艘）</c:v>
                </c:pt>
              </c:strCache>
            </c:strRef>
          </c:tx>
          <c:spPr>
            <a:solidFill>
              <a:srgbClr val="CCFFFF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宁波局</c:v>
                </c:pt>
                <c:pt idx="1">
                  <c:v>舟山局</c:v>
                </c:pt>
                <c:pt idx="2">
                  <c:v>温州局</c:v>
                </c:pt>
                <c:pt idx="3">
                  <c:v>台州局</c:v>
                </c:pt>
                <c:pt idx="4">
                  <c:v>嘉兴局</c:v>
                </c:pt>
                <c:pt idx="5">
                  <c:v>杭州局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直接经济损失(百万)</c:v>
                </c:pt>
              </c:strCache>
            </c:strRef>
          </c:tx>
          <c:spPr>
            <a:solidFill>
              <a:srgbClr val="FFFFCC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宁波局</c:v>
                </c:pt>
                <c:pt idx="1">
                  <c:v>舟山局</c:v>
                </c:pt>
                <c:pt idx="2">
                  <c:v>温州局</c:v>
                </c:pt>
                <c:pt idx="3">
                  <c:v>台州局</c:v>
                </c:pt>
                <c:pt idx="4">
                  <c:v>嘉兴局</c:v>
                </c:pt>
                <c:pt idx="5">
                  <c:v>杭州局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7.5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684096"/>
        <c:axId val="139689984"/>
      </c:barChart>
      <c:catAx>
        <c:axId val="1396840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64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79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9689984"/>
        <c:crosses val="autoZero"/>
        <c:auto val="1"/>
        <c:lblAlgn val="ctr"/>
        <c:lblOffset val="100"/>
        <c:tickLblSkip val="1"/>
        <c:noMultiLvlLbl val="0"/>
      </c:catAx>
      <c:valAx>
        <c:axId val="139689984"/>
        <c:scaling>
          <c:orientation val="minMax"/>
          <c:max val="8"/>
        </c:scaling>
        <c:delete val="0"/>
        <c:axPos val="l"/>
        <c:majorGridlines>
          <c:spPr>
            <a:ln w="3164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in"/>
        <c:minorTickMark val="none"/>
        <c:tickLblPos val="nextTo"/>
        <c:spPr>
          <a:ln w="3164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17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9684096"/>
        <c:crosses val="autoZero"/>
        <c:crossBetween val="between"/>
        <c:majorUnit val="1"/>
        <c:minorUnit val="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159500693481276"/>
          <c:y val="0.92"/>
          <c:w val="0.679611650485439"/>
          <c:h val="0.07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735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</a:p>
      </c:txPr>
    </c:legend>
    <c:plotVisOnly val="1"/>
    <c:dispBlanksAs val="gap"/>
    <c:showDLblsOverMax val="0"/>
  </c:chart>
  <c:spPr>
    <a:noFill/>
    <a:ln w="12658" cap="flat" cmpd="sng" algn="ctr">
      <a:solidFill>
        <a:srgbClr val="FF0000"/>
      </a:solidFill>
      <a:prstDash val="solid"/>
      <a:round/>
    </a:ln>
  </c:spPr>
  <c:txPr>
    <a:bodyPr/>
    <a:lstStyle/>
    <a:p>
      <a:pPr>
        <a:defRPr lang="zh-CN" sz="117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8383045525904"/>
          <c:y val="0.187116564417178"/>
          <c:w val="0.667189952904243"/>
          <c:h val="0.530674846625774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  <c:pt idx="0">
                  <c:v>占总数比例（%）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gradFill rotWithShape="0">
                <a:gsLst>
                  <a:gs pos="0">
                    <a:srgbClr val="00FF00">
                      <a:gamma/>
                      <a:shade val="46275"/>
                      <a:invGamma/>
                    </a:srgbClr>
                  </a:gs>
                  <a:gs pos="100000">
                    <a:srgbClr val="00FF00"/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FF00FF">
                      <a:gamma/>
                      <a:shade val="46275"/>
                      <a:invGamma/>
                    </a:srgbClr>
                  </a:gs>
                  <a:gs pos="50000">
                    <a:srgbClr val="FF00FF"/>
                  </a:gs>
                  <a:gs pos="100000">
                    <a:srgbClr val="FF00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gradFill rotWithShape="0">
                <a:gsLst>
                  <a:gs pos="0">
                    <a:srgbClr val="FF0000">
                      <a:gamma/>
                      <a:shade val="46275"/>
                      <a:invGamma/>
                    </a:srgbClr>
                  </a:gs>
                  <a:gs pos="100000">
                    <a:srgbClr val="FF0000"/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92474331513159"/>
                  <c:y val="-0.0576670744842154"/>
                </c:manualLayout>
              </c:layout>
              <c:numFmt formatCode="0.0%" sourceLinked="0"/>
              <c:spPr>
                <a:noFill/>
                <a:ln w="25401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50" b="0" i="0" u="none" strike="noStrike" kern="1200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01630034957914"/>
                  <c:y val="-0.006070979331300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285899071107775"/>
                  <c:y val="0.051650024484940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83636125944027"/>
                  <c:y val="0.05243487990296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867135286250138"/>
                  <c:y val="-0.024672752559316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479975060588691"/>
                  <c:y val="-0.024672752559316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73534859866655"/>
                  <c:y val="0.023136012380922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1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Sheet1!$B$1:$H$1</c:f>
              <c:strCache>
                <c:ptCount val="7"/>
                <c:pt idx="0">
                  <c:v>碰撞</c:v>
                </c:pt>
                <c:pt idx="1">
                  <c:v>自沉</c:v>
                </c:pt>
                <c:pt idx="2">
                  <c:v>触碰</c:v>
                </c:pt>
                <c:pt idx="3">
                  <c:v>触礁</c:v>
                </c:pt>
                <c:pt idx="4">
                  <c:v>火灾爆炸</c:v>
                </c:pt>
                <c:pt idx="5">
                  <c:v>风灾</c:v>
                </c:pt>
                <c:pt idx="6">
                  <c:v>其他类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773940345369"/>
          <c:y val="0.911042944785276"/>
          <c:w val="0.800627943485092"/>
          <c:h val="0.0797546012269946"/>
        </c:manualLayout>
      </c:layout>
      <c:overlay val="0"/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25" b="0" i="0" u="none" strike="noStrike" kern="1200" baseline="0">
              <a:solidFill>
                <a:srgbClr val="000000"/>
              </a:solidFill>
              <a:latin typeface="Arial" panose="020B0604020202020204" pitchFamily="2"/>
              <a:ea typeface="Arial" panose="020B0604020202020204" pitchFamily="2"/>
              <a:cs typeface="Arial" panose="020B0604020202020204" pitchFamily="2"/>
            </a:defRPr>
          </a:pPr>
        </a:p>
      </c:txPr>
    </c:legend>
    <c:plotVisOnly val="1"/>
    <c:dispBlanksAs val="zero"/>
    <c:showDLblsOverMax val="0"/>
  </c:chart>
  <c:spPr>
    <a:solidFill>
      <a:srgbClr val="CCFFFF"/>
    </a:solidFill>
    <a:ln w="12700" cap="flat" cmpd="sng" algn="ctr">
      <a:solidFill>
        <a:srgbClr val="FF0000"/>
      </a:solidFill>
      <a:prstDash val="solid"/>
      <a:round/>
    </a:ln>
  </c:spPr>
  <c:txPr>
    <a:bodyPr/>
    <a:lstStyle/>
    <a:p>
      <a:pPr>
        <a:defRPr lang="zh-CN" sz="1450" b="0" i="0" u="none" strike="noStrike" baseline="0">
          <a:solidFill>
            <a:srgbClr val="000000"/>
          </a:solidFill>
          <a:latin typeface="Arial" panose="020B0604020202020204" pitchFamily="2"/>
          <a:ea typeface="Arial" panose="020B0604020202020204" pitchFamily="2"/>
          <a:cs typeface="Arial" panose="020B0604020202020204" pitchFamily="2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21390374331551"/>
          <c:y val="0.0711743772241993"/>
          <c:w val="0.929144385026738"/>
          <c:h val="0.6725978647686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2019年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0.00223530091354814"/>
                  <c:y val="0.1338091716760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452337154022634"/>
                  <c:y val="0.09790422504262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166296375768884"/>
                  <c:y val="-0.03414773203111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2803052075934"/>
                  <c:y val="0.095155005090556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1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25" b="1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Sheet1!$B$1:$E$1</c:f>
              <c:strCache>
                <c:ptCount val="4"/>
                <c:pt idx="0">
                  <c:v>事故件数</c:v>
                </c:pt>
                <c:pt idx="1">
                  <c:v>死亡人数</c:v>
                </c:pt>
                <c:pt idx="2">
                  <c:v>沉船艘数</c:v>
                </c:pt>
                <c:pt idx="3">
                  <c:v>经济损失（百万）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18.5</c:v>
                </c:pt>
                <c:pt idx="1">
                  <c:v>30</c:v>
                </c:pt>
                <c:pt idx="2">
                  <c:v>13</c:v>
                </c:pt>
                <c:pt idx="3">
                  <c:v>47.46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2018年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0.00393302492493162"/>
                  <c:y val="0.1088369833196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683634271600861"/>
                  <c:y val="0.1071861471655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105496354940366"/>
                  <c:y val="0.0870932870679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26240592440947"/>
                  <c:y val="0.1551844592319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1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25" b="1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Sheet1!$B$1:$E$1</c:f>
              <c:strCache>
                <c:ptCount val="4"/>
                <c:pt idx="0">
                  <c:v>事故件数</c:v>
                </c:pt>
                <c:pt idx="1">
                  <c:v>死亡人数</c:v>
                </c:pt>
                <c:pt idx="2">
                  <c:v>沉船艘数</c:v>
                </c:pt>
                <c:pt idx="3">
                  <c:v>经济损失（百万）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27</c:v>
                </c:pt>
                <c:pt idx="1">
                  <c:v>28</c:v>
                </c:pt>
                <c:pt idx="2">
                  <c:v>18</c:v>
                </c:pt>
                <c:pt idx="3">
                  <c:v>74.7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9414656"/>
        <c:axId val="129416192"/>
      </c:barChart>
      <c:catAx>
        <c:axId val="1294146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2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29416192"/>
        <c:crossesAt val="0"/>
        <c:auto val="1"/>
        <c:lblAlgn val="ctr"/>
        <c:lblOffset val="100"/>
        <c:tickLblSkip val="1"/>
        <c:noMultiLvlLbl val="0"/>
      </c:catAx>
      <c:valAx>
        <c:axId val="129416192"/>
        <c:scaling>
          <c:orientation val="minMax"/>
          <c:max val="75"/>
          <c:min val="0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out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29414656"/>
        <c:crosses val="autoZero"/>
        <c:crossBetween val="between"/>
        <c:majorUnit val="5"/>
        <c:minorUnit val="1"/>
      </c:valAx>
      <c:spPr>
        <a:solidFill>
          <a:srgbClr val="CCFFFF"/>
        </a:solidFill>
        <a:ln w="12700">
          <a:solidFill>
            <a:srgbClr val="000000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72994652406417"/>
          <c:y val="0.875444839857651"/>
          <c:w val="0.258021390374332"/>
          <c:h val="0.113879003558719"/>
        </c:manualLayout>
      </c:layout>
      <c:overlay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1100" b="1" i="0" u="none" strike="noStrike" kern="1200" baseline="0">
              <a:solidFill>
                <a:srgbClr val="000000"/>
              </a:solidFill>
              <a:latin typeface="隶书" panose="02010509060101010101" charset="-122"/>
              <a:ea typeface="隶书" panose="02010509060101010101" charset="-122"/>
              <a:cs typeface="隶书" panose="02010509060101010101" charset="-122"/>
            </a:defRPr>
          </a:pPr>
        </a:p>
      </c:txPr>
    </c:legend>
    <c:plotVisOnly val="1"/>
    <c:dispBlanksAs val="gap"/>
    <c:showDLblsOverMax val="0"/>
  </c:chart>
  <c:spPr>
    <a:solidFill>
      <a:srgbClr val="00FFFF"/>
    </a:solidFill>
    <a:ln w="9525" cap="flat" cmpd="sng" algn="ctr">
      <a:noFill/>
      <a:prstDash val="solid"/>
      <a:round/>
    </a:ln>
  </c:spPr>
  <c:txPr>
    <a:bodyPr/>
    <a:lstStyle/>
    <a:p>
      <a:pPr>
        <a:defRPr lang="zh-CN" sz="11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24017467248908"/>
          <c:y val="0.0694864048338372"/>
          <c:w val="0.931586608442504"/>
          <c:h val="0.7401812688821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事故件数（件）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宁波局</c:v>
                </c:pt>
                <c:pt idx="1">
                  <c:v>舟山局</c:v>
                </c:pt>
                <c:pt idx="2">
                  <c:v>温州局</c:v>
                </c:pt>
                <c:pt idx="3">
                  <c:v>台州局</c:v>
                </c:pt>
                <c:pt idx="4">
                  <c:v>嘉兴局</c:v>
                </c:pt>
                <c:pt idx="5">
                  <c:v>杭州局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</c:v>
                </c:pt>
                <c:pt idx="1">
                  <c:v>10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死亡失踪人数（人）</c:v>
                </c:pt>
              </c:strCache>
            </c:strRef>
          </c:tx>
          <c:spPr>
            <a:solidFill>
              <a:srgbClr val="FF0000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宁波局</c:v>
                </c:pt>
                <c:pt idx="1">
                  <c:v>舟山局</c:v>
                </c:pt>
                <c:pt idx="2">
                  <c:v>温州局</c:v>
                </c:pt>
                <c:pt idx="3">
                  <c:v>台州局</c:v>
                </c:pt>
                <c:pt idx="4">
                  <c:v>嘉兴局</c:v>
                </c:pt>
                <c:pt idx="5">
                  <c:v>杭州局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19</c:v>
                </c:pt>
                <c:pt idx="1">
                  <c:v>18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沉船艘数（艘）</c:v>
                </c:pt>
              </c:strCache>
            </c:strRef>
          </c:tx>
          <c:spPr>
            <a:solidFill>
              <a:srgbClr val="CCFF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宁波局</c:v>
                </c:pt>
                <c:pt idx="1">
                  <c:v>舟山局</c:v>
                </c:pt>
                <c:pt idx="2">
                  <c:v>温州局</c:v>
                </c:pt>
                <c:pt idx="3">
                  <c:v>台州局</c:v>
                </c:pt>
                <c:pt idx="4">
                  <c:v>嘉兴局</c:v>
                </c:pt>
                <c:pt idx="5">
                  <c:v>杭州局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直接经济损失(百万)</c:v>
                </c:pt>
              </c:strCache>
            </c:strRef>
          </c:tx>
          <c:spPr>
            <a:solidFill>
              <a:srgbClr val="FFFFCC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宁波局</c:v>
                </c:pt>
                <c:pt idx="1">
                  <c:v>舟山局</c:v>
                </c:pt>
                <c:pt idx="2">
                  <c:v>温州局</c:v>
                </c:pt>
                <c:pt idx="3">
                  <c:v>台州局</c:v>
                </c:pt>
                <c:pt idx="4">
                  <c:v>嘉兴局</c:v>
                </c:pt>
                <c:pt idx="5">
                  <c:v>杭州局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22.31</c:v>
                </c:pt>
                <c:pt idx="1">
                  <c:v>29.12</c:v>
                </c:pt>
                <c:pt idx="2">
                  <c:v>1.03</c:v>
                </c:pt>
                <c:pt idx="3">
                  <c:v>3.1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318912"/>
        <c:axId val="131320448"/>
      </c:barChart>
      <c:catAx>
        <c:axId val="13131891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7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5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1320448"/>
        <c:crosses val="autoZero"/>
        <c:auto val="1"/>
        <c:lblAlgn val="ctr"/>
        <c:lblOffset val="100"/>
        <c:tickLblSkip val="1"/>
        <c:noMultiLvlLbl val="0"/>
      </c:catAx>
      <c:valAx>
        <c:axId val="131320448"/>
        <c:scaling>
          <c:orientation val="minMax"/>
          <c:max val="30"/>
        </c:scaling>
        <c:delete val="0"/>
        <c:axPos val="l"/>
        <c:majorGridlines>
          <c:spPr>
            <a:ln w="3177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in"/>
        <c:minorTickMark val="none"/>
        <c:tickLblPos val="nextTo"/>
        <c:spPr>
          <a:ln w="3177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1318912"/>
        <c:crosses val="autoZero"/>
        <c:crossBetween val="between"/>
        <c:majorUnit val="5"/>
        <c:minorUnit val="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114992721979622"/>
          <c:y val="0.924471299093656"/>
          <c:w val="0.770014556040758"/>
          <c:h val="0.0664652567975831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78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</a:p>
      </c:txPr>
    </c:legend>
    <c:plotVisOnly val="1"/>
    <c:dispBlanksAs val="gap"/>
    <c:showDLblsOverMax val="0"/>
  </c:chart>
  <c:spPr>
    <a:noFill/>
    <a:ln w="12706" cap="flat" cmpd="sng" algn="ctr">
      <a:solidFill>
        <a:srgbClr val="FF0000"/>
      </a:solidFill>
      <a:prstDash val="solid"/>
      <a:round/>
    </a:ln>
  </c:spPr>
  <c:txPr>
    <a:bodyPr/>
    <a:lstStyle/>
    <a:p>
      <a:pPr>
        <a:defRPr lang="zh-CN" sz="12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196285581501"/>
          <c:y val="0.13419821378163"/>
          <c:w val="0.438474870017332"/>
          <c:h val="0.80573248407643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占总数比例（%）</c:v>
                </c:pt>
              </c:strCache>
            </c:strRef>
          </c:tx>
          <c:explosion val="38"/>
          <c:dPt>
            <c:idx val="0"/>
            <c:bubble3D val="0"/>
            <c:explosion val="30"/>
          </c:dPt>
          <c:dPt>
            <c:idx val="1"/>
            <c:bubble3D val="0"/>
            <c:explosion val="17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0.0336708867081758"/>
                  <c:y val="0.06109398986002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43701854724674"/>
                  <c:y val="0.06993398132802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757582159050228"/>
                  <c:y val="0.13583387888870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353476819351267"/>
                  <c:y val="0.071045924751396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319908295845962"/>
                  <c:y val="0.008154701486112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944566128612632"/>
                  <c:y val="0.036316169860918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Sheet1!$B$1:$G$1</c:f>
              <c:strCache>
                <c:ptCount val="6"/>
                <c:pt idx="0">
                  <c:v>宁波局</c:v>
                </c:pt>
                <c:pt idx="1">
                  <c:v>舟山局</c:v>
                </c:pt>
                <c:pt idx="2">
                  <c:v>台州局</c:v>
                </c:pt>
                <c:pt idx="3">
                  <c:v>嘉兴局</c:v>
                </c:pt>
                <c:pt idx="4">
                  <c:v>温州局</c:v>
                </c:pt>
                <c:pt idx="5">
                  <c:v>杭州局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9098786828424"/>
          <c:y val="0.191082802547771"/>
          <c:w val="0.15944540727903"/>
          <c:h val="0.576433121019108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"/>
          <c:y val="0.199170124481328"/>
          <c:w val="0.461666666666667"/>
          <c:h val="0.468879668049793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  <c:pt idx="0">
                  <c:v>占总数比例（%）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gradFill rotWithShape="0">
                <a:gsLst>
                  <a:gs pos="0">
                    <a:srgbClr val="00FF00">
                      <a:gamma/>
                      <a:shade val="46275"/>
                      <a:invGamma/>
                    </a:srgbClr>
                  </a:gs>
                  <a:gs pos="100000">
                    <a:srgbClr val="00FF00"/>
                  </a:gs>
                </a:gsLst>
                <a:lin ang="5400000" scaled="1"/>
              </a:gra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FF00FF">
                      <a:gamma/>
                      <a:shade val="46275"/>
                      <a:invGamma/>
                    </a:srgbClr>
                  </a:gs>
                  <a:gs pos="50000">
                    <a:srgbClr val="FF00FF"/>
                  </a:gs>
                  <a:gs pos="100000">
                    <a:srgbClr val="FF00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gradFill rotWithShape="0">
                <a:gsLst>
                  <a:gs pos="0">
                    <a:srgbClr val="FF0000">
                      <a:gamma/>
                      <a:shade val="46275"/>
                      <a:invGamma/>
                    </a:srgbClr>
                  </a:gs>
                  <a:gs pos="100000">
                    <a:srgbClr val="FF0000"/>
                  </a:gs>
                </a:gsLst>
                <a:lin ang="5400000" scaled="1"/>
              </a:gra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.0%" sourceLinked="0"/>
              <c:spPr>
                <a:noFill/>
                <a:ln w="25398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0699577096621401"/>
                  <c:y val="0.03168243797448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438989020537968"/>
                  <c:y val="-0.054358870872163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278793112376538"/>
                  <c:y val="-0.061118461567826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886331715528734"/>
                  <c:y val="0.07174949060570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398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Sheet1!$B$1:$H$1</c:f>
              <c:strCache>
                <c:ptCount val="7"/>
                <c:pt idx="0">
                  <c:v>碰撞</c:v>
                </c:pt>
                <c:pt idx="1">
                  <c:v>触礁</c:v>
                </c:pt>
                <c:pt idx="2">
                  <c:v>自沉</c:v>
                </c:pt>
                <c:pt idx="3">
                  <c:v>触碰</c:v>
                </c:pt>
                <c:pt idx="4">
                  <c:v>火灾爆炸</c:v>
                </c:pt>
                <c:pt idx="5">
                  <c:v>风灾</c:v>
                </c:pt>
                <c:pt idx="6">
                  <c:v>其他类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13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933333333333334"/>
          <c:y val="0.871369294605811"/>
          <c:w val="0.850000000000001"/>
          <c:h val="0.107883817427386"/>
        </c:manualLayout>
      </c:layout>
      <c:overlay val="0"/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25" b="0" i="0" u="none" strike="noStrike" kern="1200" baseline="0">
              <a:solidFill>
                <a:srgbClr val="000000"/>
              </a:solidFill>
              <a:latin typeface="Arial" panose="020B0604020202020204" pitchFamily="2"/>
              <a:ea typeface="Arial" panose="020B0604020202020204" pitchFamily="2"/>
              <a:cs typeface="Arial" panose="020B0604020202020204" pitchFamily="2"/>
            </a:defRPr>
          </a:pPr>
        </a:p>
      </c:txPr>
    </c:legend>
    <c:plotVisOnly val="1"/>
    <c:dispBlanksAs val="zero"/>
    <c:showDLblsOverMax val="0"/>
  </c:chart>
  <c:spPr>
    <a:solidFill>
      <a:srgbClr val="CCFFFF"/>
    </a:solidFill>
    <a:ln w="12699" cap="flat" cmpd="sng" algn="ctr">
      <a:solidFill>
        <a:srgbClr val="FF0000"/>
      </a:solidFill>
      <a:prstDash val="solid"/>
      <a:round/>
    </a:ln>
  </c:spPr>
  <c:txPr>
    <a:bodyPr/>
    <a:lstStyle/>
    <a:p>
      <a:pPr>
        <a:defRPr lang="zh-CN" sz="1075" b="0" i="0" u="none" strike="noStrike" baseline="0">
          <a:solidFill>
            <a:srgbClr val="000000"/>
          </a:solidFill>
          <a:latin typeface="Arial" panose="020B0604020202020204" pitchFamily="2"/>
          <a:ea typeface="Arial" panose="020B0604020202020204" pitchFamily="2"/>
          <a:cs typeface="Arial" panose="020B0604020202020204" pitchFamily="2"/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917525773196"/>
          <c:y val="0.119617224880383"/>
          <c:w val="0.451030927835052"/>
          <c:h val="0.83732057416267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999FF"/>
            </a:solidFill>
            <a:ln w="12716">
              <a:solidFill>
                <a:srgbClr val="000000"/>
              </a:solidFill>
              <a:prstDash val="solid"/>
            </a:ln>
          </c:spPr>
          <c:explosion val="7"/>
          <c:dPt>
            <c:idx val="0"/>
            <c:bubble3D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66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0486029340460617"/>
                  <c:y val="-0.10381329422660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905284654299434"/>
                  <c:y val="-0.16752910090694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5431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5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Sheet1!$B$1:$E$1</c:f>
              <c:strCache>
                <c:ptCount val="4"/>
                <c:pt idx="0">
                  <c:v>500总吨以下</c:v>
                </c:pt>
                <c:pt idx="1">
                  <c:v>500-1000总吨</c:v>
                </c:pt>
                <c:pt idx="2">
                  <c:v>1000-3000总吨</c:v>
                </c:pt>
                <c:pt idx="3">
                  <c:v>3000总吨以上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5.5</c:v>
                </c:pt>
                <c:pt idx="1">
                  <c:v>0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solidFill>
          <a:srgbClr val="00FFFF"/>
        </a:solidFill>
        <a:ln w="25431">
          <a:noFill/>
        </a:ln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52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52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52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</c:legendEntry>
      <c:legendEntry>
        <c:idx val="3"/>
        <c:txPr>
          <a:bodyPr rot="0" spcFirstLastPara="0" vertOverflow="ellipsis" vert="horz" wrap="square" anchor="ctr" anchorCtr="1"/>
          <a:lstStyle/>
          <a:p>
            <a:pPr>
              <a:defRPr lang="zh-CN" sz="52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</c:legendEntry>
      <c:layout>
        <c:manualLayout>
          <c:xMode val="edge"/>
          <c:yMode val="edge"/>
          <c:x val="0.729381443298969"/>
          <c:y val="0.67464114832536"/>
          <c:w val="0.213917525773196"/>
          <c:h val="0.311004784688996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735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</a:p>
      </c:txPr>
    </c:legend>
    <c:plotVisOnly val="1"/>
    <c:dispBlanksAs val="zero"/>
    <c:showDLblsOverMax val="0"/>
  </c:chart>
  <c:spPr>
    <a:solidFill>
      <a:srgbClr val="00FFFF"/>
    </a:solidFill>
    <a:ln w="12716" cap="flat" cmpd="sng" algn="ctr">
      <a:solidFill>
        <a:srgbClr val="000080"/>
      </a:solidFill>
      <a:prstDash val="solid"/>
      <a:round/>
    </a:ln>
  </c:spPr>
  <c:txPr>
    <a:bodyPr/>
    <a:lstStyle/>
    <a:p>
      <a:pPr>
        <a:defRPr lang="zh-CN" sz="8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548098434005"/>
          <c:y val="0.104895104895105"/>
          <c:w val="0.568232662192394"/>
          <c:h val="0.888111888111888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东部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0324218994286365"/>
                  <c:y val="-0.10047769028871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67499076153387"/>
                  <c:y val="-0.10683377077865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71168026379374"/>
                  <c:y val="0.034377077865266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287467616083998"/>
                  <c:y val="0.008056693525197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08358964154751"/>
                  <c:y val="0.047935695538057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81055743483328"/>
                  <c:y val="-0.040248031496062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946308877455301"/>
                  <c:y val="-0.12008748906386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Sheet1!$B$1:$I$1</c:f>
              <c:strCache>
                <c:ptCount val="8"/>
                <c:pt idx="0">
                  <c:v>专属经济区</c:v>
                </c:pt>
                <c:pt idx="1">
                  <c:v>毗连区</c:v>
                </c:pt>
                <c:pt idx="2">
                  <c:v>领海</c:v>
                </c:pt>
                <c:pt idx="3">
                  <c:v>领海基线内其他水域</c:v>
                </c:pt>
                <c:pt idx="4">
                  <c:v>航道</c:v>
                </c:pt>
                <c:pt idx="5">
                  <c:v>锚地水域</c:v>
                </c:pt>
                <c:pt idx="6">
                  <c:v>内河港区</c:v>
                </c:pt>
                <c:pt idx="7">
                  <c:v>港口码头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12</c:v>
                </c:pt>
                <c:pt idx="4">
                  <c:v>4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solidFill>
          <a:srgbClr val="00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71812080536913"/>
          <c:y val="0.447552447552448"/>
          <c:w val="0.21923937360179"/>
          <c:h val="0.50699300699300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735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</a:p>
      </c:txPr>
    </c:legend>
    <c:plotVisOnly val="1"/>
    <c:dispBlanksAs val="zero"/>
    <c:showDLblsOverMax val="0"/>
  </c:chart>
  <c:spPr>
    <a:solidFill>
      <a:srgbClr val="00FFFF"/>
    </a:solidFill>
    <a:ln w="12700" cap="flat" cmpd="sng" algn="ctr">
      <a:solidFill>
        <a:srgbClr val="FF0000"/>
      </a:solidFill>
      <a:prstDash val="solid"/>
      <a:round/>
    </a:ln>
  </c:spPr>
  <c:txPr>
    <a:bodyPr/>
    <a:lstStyle/>
    <a:p>
      <a:pPr>
        <a:defRPr lang="zh-CN" sz="112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95517774343122"/>
          <c:y val="0.0749185667752443"/>
          <c:w val="0.860896445131376"/>
          <c:h val="0.68078175895765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事故件数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0-4时</c:v>
                </c:pt>
                <c:pt idx="1">
                  <c:v>4-8时</c:v>
                </c:pt>
                <c:pt idx="2">
                  <c:v>8-12时</c:v>
                </c:pt>
                <c:pt idx="3">
                  <c:v>12-16时</c:v>
                </c:pt>
                <c:pt idx="4">
                  <c:v>16-20时</c:v>
                </c:pt>
                <c:pt idx="5">
                  <c:v>20-24时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沉船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0-4时</c:v>
                </c:pt>
                <c:pt idx="1">
                  <c:v>4-8时</c:v>
                </c:pt>
                <c:pt idx="2">
                  <c:v>8-12时</c:v>
                </c:pt>
                <c:pt idx="3">
                  <c:v>12-16时</c:v>
                </c:pt>
                <c:pt idx="4">
                  <c:v>16-20时</c:v>
                </c:pt>
                <c:pt idx="5">
                  <c:v>20-24时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经济损失（百万）</c:v>
                </c:pt>
              </c:strCache>
            </c:strRef>
          </c:tx>
          <c:spPr>
            <a:solidFill>
              <a:srgbClr val="CCFF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0-4时</c:v>
                </c:pt>
                <c:pt idx="1">
                  <c:v>4-8时</c:v>
                </c:pt>
                <c:pt idx="2">
                  <c:v>8-12时</c:v>
                </c:pt>
                <c:pt idx="3">
                  <c:v>12-16时</c:v>
                </c:pt>
                <c:pt idx="4">
                  <c:v>16-20时</c:v>
                </c:pt>
                <c:pt idx="5">
                  <c:v>20-24时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10.2</c:v>
                </c:pt>
                <c:pt idx="1">
                  <c:v>4.23</c:v>
                </c:pt>
                <c:pt idx="2">
                  <c:v>10</c:v>
                </c:pt>
                <c:pt idx="3">
                  <c:v>0.43</c:v>
                </c:pt>
                <c:pt idx="4">
                  <c:v>12</c:v>
                </c:pt>
                <c:pt idx="5">
                  <c:v>18.7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986624"/>
        <c:axId val="13898854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死亡失踪</c:v>
                </c:pt>
              </c:strCache>
            </c:strRef>
          </c:tx>
          <c:spPr>
            <a:ln w="12693" cap="rnd" cmpd="sng" algn="ctr">
              <a:solidFill>
                <a:srgbClr val="FF0000"/>
              </a:solidFill>
              <a:prstDash val="solid"/>
              <a:round/>
            </a:ln>
          </c:spPr>
          <c:marker>
            <c:symbol val="diamond"/>
            <c:size val="4"/>
            <c:spPr>
              <a:solidFill>
                <a:srgbClr val="000080"/>
              </a:solidFill>
              <a:ln w="9525" cap="flat" cmpd="sng" algn="ctr">
                <a:solidFill>
                  <a:srgbClr val="FF0000"/>
                </a:solidFill>
                <a:prstDash val="solid"/>
                <a:round/>
              </a:ln>
            </c:spPr>
          </c:marker>
          <c:dLbls>
            <c:delete val="1"/>
          </c:dLbls>
          <c:cat>
            <c:strRef>
              <c:f>Sheet1!$B$1:$G$1</c:f>
              <c:strCache>
                <c:ptCount val="6"/>
                <c:pt idx="0">
                  <c:v>0-4时</c:v>
                </c:pt>
                <c:pt idx="1">
                  <c:v>4-8时</c:v>
                </c:pt>
                <c:pt idx="2">
                  <c:v>8-12时</c:v>
                </c:pt>
                <c:pt idx="3">
                  <c:v>12-16时</c:v>
                </c:pt>
                <c:pt idx="4">
                  <c:v>16-20时</c:v>
                </c:pt>
                <c:pt idx="5">
                  <c:v>20-24时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7</c:v>
                </c:pt>
                <c:pt idx="1">
                  <c:v>16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  <c:pt idx="5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023104"/>
        <c:axId val="139024640"/>
      </c:lineChart>
      <c:catAx>
        <c:axId val="1389866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3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2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8988544"/>
        <c:crosses val="autoZero"/>
        <c:auto val="0"/>
        <c:lblAlgn val="ctr"/>
        <c:lblOffset val="100"/>
        <c:tickLblSkip val="1"/>
        <c:noMultiLvlLbl val="0"/>
      </c:catAx>
      <c:valAx>
        <c:axId val="138988544"/>
        <c:scaling>
          <c:orientation val="minMax"/>
        </c:scaling>
        <c:delete val="0"/>
        <c:axPos val="l"/>
        <c:majorGridlines>
          <c:spPr>
            <a:ln w="3173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in"/>
        <c:minorTickMark val="none"/>
        <c:tickLblPos val="nextTo"/>
        <c:spPr>
          <a:ln w="3173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2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8986624"/>
        <c:crosses val="autoZero"/>
        <c:crossBetween val="between"/>
      </c:valAx>
      <c:catAx>
        <c:axId val="13902310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2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9024640"/>
        <c:crosses val="autoZero"/>
        <c:auto val="0"/>
        <c:lblAlgn val="ctr"/>
        <c:lblOffset val="100"/>
        <c:noMultiLvlLbl val="0"/>
      </c:catAx>
      <c:valAx>
        <c:axId val="139024640"/>
        <c:scaling>
          <c:orientation val="minMax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3173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2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9023104"/>
        <c:crosses val="max"/>
        <c:crossBetween val="between"/>
      </c:valAx>
      <c:spPr>
        <a:solidFill>
          <a:srgbClr val="3366FF"/>
        </a:solidFill>
        <a:ln w="1269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7465224111283"/>
          <c:y val="0.908794788273616"/>
          <c:w val="0.765069551777434"/>
          <c:h val="0.0814332247557002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94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</a:p>
      </c:txPr>
    </c:legend>
    <c:plotVisOnly val="1"/>
    <c:dispBlanksAs val="gap"/>
    <c:showDLblsOverMax val="0"/>
  </c:chart>
  <c:spPr>
    <a:solidFill>
      <a:srgbClr val="3366FF"/>
    </a:solidFill>
    <a:ln w="9525" cap="flat" cmpd="sng" algn="ctr">
      <a:noFill/>
      <a:prstDash val="solid"/>
      <a:round/>
    </a:ln>
  </c:spPr>
  <c:txPr>
    <a:bodyPr/>
    <a:lstStyle/>
    <a:p>
      <a:pPr>
        <a:defRPr lang="zh-CN" sz="102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13598673300166"/>
          <c:y val="0.101449275362319"/>
          <c:w val="0.877280265339967"/>
          <c:h val="0.58454106280193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事故件数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Sheet1!$B$1:$M$1</c:f>
              <c:strCache>
                <c:ptCount val="12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  <c:pt idx="6">
                  <c:v>七月</c:v>
                </c:pt>
                <c:pt idx="7">
                  <c:v>八月</c:v>
                </c:pt>
                <c:pt idx="8">
                  <c:v>九月</c:v>
                </c:pt>
                <c:pt idx="9">
                  <c:v>十月</c:v>
                </c:pt>
                <c:pt idx="10">
                  <c:v>十一月</c:v>
                </c:pt>
                <c:pt idx="11">
                  <c:v>十二月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6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沉船艘数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Sheet1!$B$1:$M$1</c:f>
              <c:strCache>
                <c:ptCount val="12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  <c:pt idx="6">
                  <c:v>七月</c:v>
                </c:pt>
                <c:pt idx="7">
                  <c:v>八月</c:v>
                </c:pt>
                <c:pt idx="8">
                  <c:v>九月</c:v>
                </c:pt>
                <c:pt idx="9">
                  <c:v>十月</c:v>
                </c:pt>
                <c:pt idx="10">
                  <c:v>十一月</c:v>
                </c:pt>
                <c:pt idx="11">
                  <c:v>十二月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5</c:v>
                </c:pt>
                <c:pt idx="9">
                  <c:v>2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经济损失(百万)</c:v>
                </c:pt>
              </c:strCache>
            </c:strRef>
          </c:tx>
          <c:spPr>
            <a:solidFill>
              <a:srgbClr val="CCFF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Sheet1!$B$1:$M$1</c:f>
              <c:strCache>
                <c:ptCount val="12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  <c:pt idx="6">
                  <c:v>七月</c:v>
                </c:pt>
                <c:pt idx="7">
                  <c:v>八月</c:v>
                </c:pt>
                <c:pt idx="8">
                  <c:v>九月</c:v>
                </c:pt>
                <c:pt idx="9">
                  <c:v>十月</c:v>
                </c:pt>
                <c:pt idx="10">
                  <c:v>十一月</c:v>
                </c:pt>
                <c:pt idx="11">
                  <c:v>十二月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1.5</c:v>
                </c:pt>
                <c:pt idx="1">
                  <c:v>8.21</c:v>
                </c:pt>
                <c:pt idx="2">
                  <c:v>13.1</c:v>
                </c:pt>
                <c:pt idx="3">
                  <c:v>1.1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1.1</c:v>
                </c:pt>
                <c:pt idx="8">
                  <c:v>17.05</c:v>
                </c:pt>
                <c:pt idx="9">
                  <c:v>1.5</c:v>
                </c:pt>
                <c:pt idx="10">
                  <c:v>0</c:v>
                </c:pt>
                <c:pt idx="1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064064"/>
        <c:axId val="13906598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死亡人数</c:v>
                </c:pt>
              </c:strCache>
            </c:strRef>
          </c:tx>
          <c:spPr>
            <a:ln w="12690" cap="rnd" cmpd="sng" algn="ctr">
              <a:solidFill>
                <a:srgbClr val="FF0000"/>
              </a:solidFill>
              <a:prstDash val="solid"/>
              <a:round/>
            </a:ln>
          </c:spPr>
          <c:marker>
            <c:symbol val="diamond"/>
            <c:size val="4"/>
            <c:spPr>
              <a:solidFill>
                <a:srgbClr val="FF0000"/>
              </a:solidFill>
              <a:ln w="9525" cap="flat" cmpd="sng" algn="ctr">
                <a:solidFill>
                  <a:srgbClr val="FF0000"/>
                </a:solidFill>
                <a:prstDash val="solid"/>
                <a:round/>
              </a:ln>
            </c:spPr>
          </c:marker>
          <c:dLbls>
            <c:delete val="1"/>
          </c:dLbls>
          <c:cat>
            <c:strRef>
              <c:f>Sheet1!$B$1:$M$1</c:f>
              <c:strCache>
                <c:ptCount val="12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四月</c:v>
                </c:pt>
                <c:pt idx="4">
                  <c:v>五月</c:v>
                </c:pt>
                <c:pt idx="5">
                  <c:v>六月</c:v>
                </c:pt>
                <c:pt idx="6">
                  <c:v>七月</c:v>
                </c:pt>
                <c:pt idx="7">
                  <c:v>八月</c:v>
                </c:pt>
                <c:pt idx="8">
                  <c:v>九月</c:v>
                </c:pt>
                <c:pt idx="9">
                  <c:v>十月</c:v>
                </c:pt>
                <c:pt idx="10">
                  <c:v>十一月</c:v>
                </c:pt>
                <c:pt idx="11">
                  <c:v>十二月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6</c:v>
                </c:pt>
                <c:pt idx="1">
                  <c:v>7</c:v>
                </c:pt>
                <c:pt idx="2">
                  <c:v>3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13</c:v>
                </c:pt>
                <c:pt idx="9">
                  <c:v>8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145600"/>
        <c:axId val="139147136"/>
      </c:lineChart>
      <c:catAx>
        <c:axId val="13906406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2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9065984"/>
        <c:crosses val="autoZero"/>
        <c:auto val="0"/>
        <c:lblAlgn val="ctr"/>
        <c:lblOffset val="100"/>
        <c:tickLblSkip val="1"/>
        <c:noMultiLvlLbl val="0"/>
      </c:catAx>
      <c:valAx>
        <c:axId val="139065984"/>
        <c:scaling>
          <c:orientation val="minMax"/>
        </c:scaling>
        <c:delete val="0"/>
        <c:axPos val="l"/>
        <c:majorGridlines>
          <c:spPr>
            <a:ln w="12690" cap="flat" cmpd="sng" algn="ctr">
              <a:solidFill>
                <a:srgbClr val="000000"/>
              </a:solidFill>
              <a:prstDash val="sysDash"/>
              <a:round/>
            </a:ln>
          </c:spPr>
        </c:majorGridlines>
        <c:numFmt formatCode="General" sourceLinked="1"/>
        <c:majorTickMark val="in"/>
        <c:minorTickMark val="none"/>
        <c:tickLblPos val="nextTo"/>
        <c:spPr>
          <a:ln w="3172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9064064"/>
        <c:crosses val="autoZero"/>
        <c:crossBetween val="between"/>
      </c:valAx>
      <c:catAx>
        <c:axId val="139145600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9147136"/>
        <c:crosses val="autoZero"/>
        <c:auto val="0"/>
        <c:lblAlgn val="ctr"/>
        <c:lblOffset val="100"/>
        <c:noMultiLvlLbl val="0"/>
      </c:catAx>
      <c:valAx>
        <c:axId val="139147136"/>
        <c:scaling>
          <c:orientation val="minMax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3172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39145600"/>
        <c:crosses val="max"/>
        <c:crossBetween val="between"/>
      </c:valAx>
      <c:spPr>
        <a:solidFill>
          <a:srgbClr val="CCFFFF"/>
        </a:solidFill>
        <a:ln w="25380">
          <a:noFill/>
        </a:ln>
      </c:spPr>
    </c:plotArea>
    <c:legend>
      <c:legendPos val="b"/>
      <c:layout>
        <c:manualLayout>
          <c:xMode val="edge"/>
          <c:yMode val="edge"/>
          <c:x val="0.150912106135987"/>
          <c:y val="0.884057971014493"/>
          <c:w val="0.698175787728027"/>
          <c:h val="0.101449275362319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735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</a:p>
      </c:txPr>
    </c:legend>
    <c:plotVisOnly val="1"/>
    <c:dispBlanksAs val="gap"/>
    <c:showDLblsOverMax val="0"/>
  </c:chart>
  <c:spPr>
    <a:solidFill>
      <a:srgbClr val="CCFFFF"/>
    </a:solidFill>
    <a:ln w="12690" cap="flat" cmpd="sng" algn="ctr">
      <a:solidFill>
        <a:srgbClr val="00FF00"/>
      </a:solidFill>
      <a:prstDash val="lgDash"/>
      <a:round/>
    </a:ln>
  </c:spPr>
  <c:txPr>
    <a:bodyPr/>
    <a:lstStyle/>
    <a:p>
      <a:pPr>
        <a:defRPr lang="zh-CN" sz="8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3681</Words>
  <Characters>20987</Characters>
  <Lines>174</Lines>
  <Paragraphs>49</Paragraphs>
  <TotalTime>0</TotalTime>
  <ScaleCrop>false</ScaleCrop>
  <LinksUpToDate>false</LinksUpToDate>
  <CharactersWithSpaces>24619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2020-01-02T14:25:00Z</dcterms:created>
  <dc:creator>wzh</dc:creator>
  <cp:lastModifiedBy>李旭驰</cp:lastModifiedBy>
  <dcterms:modified xsi:type="dcterms:W3CDTF">2020-03-20T02:48:21Z</dcterms:modified>
  <dc:title>2015年3月份辖区水上交通事故统计分析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