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bookmarkStart w:id="0" w:name="_Hlk176458514"/>
      <w:r>
        <w:rPr>
          <w:rFonts w:hint="eastAsia"/>
        </w:rPr>
        <w:t>浙江</w:t>
      </w:r>
      <w:r>
        <w:rPr>
          <w:rFonts w:hint="eastAsia"/>
          <w:lang w:eastAsia="zh-CN"/>
        </w:rPr>
        <w:t>海上</w:t>
      </w:r>
      <w:r>
        <w:t>锂电池产品运输指南</w:t>
      </w:r>
    </w:p>
    <w:p>
      <w:pPr>
        <w:jc w:val="center"/>
        <w:rPr>
          <w:rFonts w:hint="eastAsia" w:ascii="方正小标宋简体" w:hAnsi="方正小标宋简体" w:eastAsia="方正小标宋简体" w:cs="方正小标宋简体"/>
          <w:sz w:val="44"/>
          <w:szCs w:val="44"/>
          <w:lang w:val="en" w:eastAsia="zh-CN"/>
        </w:rPr>
      </w:pPr>
      <w:r>
        <w:rPr>
          <w:rFonts w:hint="eastAsia" w:ascii="方正小标宋简体" w:hAnsi="方正小标宋简体" w:eastAsia="方正小标宋简体" w:cs="方正小标宋简体"/>
          <w:sz w:val="44"/>
          <w:szCs w:val="44"/>
          <w:lang w:val="en" w:eastAsia="zh-CN"/>
        </w:rPr>
        <w:t>（征求意见稿）</w:t>
      </w:r>
    </w:p>
    <w:p>
      <w:pPr>
        <w:widowControl/>
        <w:spacing w:line="560" w:lineRule="exact"/>
        <w:ind w:firstLine="640" w:firstLineChars="200"/>
        <w:rPr>
          <w:rFonts w:ascii="Times New Roman" w:hAnsi="Times New Roman" w:eastAsia="仿宋_GB2312" w:cs="Times New Roman"/>
          <w:sz w:val="32"/>
          <w:szCs w:val="32"/>
        </w:rPr>
      </w:pP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锂电池在水路运输中被划分为第9类危险货物</w:t>
      </w:r>
      <w:r>
        <w:rPr>
          <w:rFonts w:hint="eastAsia" w:ascii="Times New Roman" w:hAnsi="Times New Roman" w:eastAsia="仿宋_GB2312" w:cs="Times New Roman"/>
          <w:sz w:val="32"/>
          <w:szCs w:val="32"/>
        </w:rPr>
        <w:t>。由于锂电池产品</w:t>
      </w:r>
      <w:r>
        <w:rPr>
          <w:rFonts w:ascii="Times New Roman" w:hAnsi="Times New Roman" w:eastAsia="仿宋_GB2312" w:cs="Times New Roman"/>
          <w:sz w:val="32"/>
          <w:szCs w:val="32"/>
        </w:rPr>
        <w:t>在运输过程中存在燃烧爆炸风险，且火势蔓延快，适用灭火方法少，水上运输风险隐患较大。为规范锂电池运输行为，降低锂电池运输风险，保障船舶、人命和财产安全，浙江海事局依据相关国际公约、法律法规及技术标准，</w:t>
      </w:r>
      <w:r>
        <w:rPr>
          <w:rFonts w:hint="eastAsia" w:ascii="Times New Roman" w:hAnsi="Times New Roman" w:eastAsia="仿宋_GB2312" w:cs="Times New Roman"/>
          <w:sz w:val="32"/>
          <w:szCs w:val="32"/>
        </w:rPr>
        <w:t>从锂电池产品水路运输的分类以及装箱、申报等水路运输各个环节着手，梳理了相关技术要求和注意事项，旨在向锂电池生产、销售、运输产业链上的单位和个人提供简明扼要的指导。</w:t>
      </w:r>
    </w:p>
    <w:p>
      <w:pPr>
        <w:widowControl/>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南包括正文和附件两大部分。其中，正文分为锂电池产品的分类、锂电池产品水路运输流程以及锂电池生产、装箱、申报、船舶载运等各个环节的注意事项三个部分；附件分为锂电池UN38.3检测、包装、标志、标牌和标记、SP188条款介绍、申报员和装箱员资格考核、UN3536介绍等。正文为锂电池水路运输的简明指导。通过附件，可以进一步了解锂电池检测、包装、标记的具体要求，从而</w:t>
      </w:r>
      <w:r>
        <w:rPr>
          <w:rFonts w:ascii="Times New Roman" w:hAnsi="Times New Roman" w:eastAsia="仿宋_GB2312" w:cs="Times New Roman"/>
          <w:sz w:val="32"/>
          <w:szCs w:val="32"/>
        </w:rPr>
        <w:t>安全合规地进行锂电池</w:t>
      </w:r>
      <w:r>
        <w:rPr>
          <w:rFonts w:hint="eastAsia" w:ascii="Times New Roman" w:hAnsi="Times New Roman" w:eastAsia="仿宋_GB2312" w:cs="Times New Roman"/>
          <w:sz w:val="32"/>
          <w:szCs w:val="32"/>
        </w:rPr>
        <w:t>产品</w:t>
      </w:r>
      <w:r>
        <w:rPr>
          <w:rFonts w:ascii="Times New Roman" w:hAnsi="Times New Roman" w:eastAsia="仿宋_GB2312" w:cs="Times New Roman"/>
          <w:sz w:val="32"/>
          <w:szCs w:val="32"/>
        </w:rPr>
        <w:t>的水路运输</w:t>
      </w:r>
      <w:r>
        <w:rPr>
          <w:rFonts w:hint="eastAsia" w:ascii="Times New Roman" w:hAnsi="Times New Roman" w:eastAsia="仿宋_GB2312" w:cs="Times New Roman"/>
          <w:sz w:val="32"/>
          <w:szCs w:val="32"/>
        </w:rPr>
        <w:t>。</w:t>
      </w:r>
    </w:p>
    <w:p>
      <w:pPr>
        <w:widowControl/>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本指南涉及的锂电池产品仅包括UN3480、UN3481、UN3090、UN3091、UN3536（UN3171除外）。</w:t>
      </w:r>
    </w:p>
    <w:p>
      <w:pPr>
        <w:widowControl/>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本指南为推荐性指南，</w:t>
      </w:r>
      <w:r>
        <w:rPr>
          <w:rFonts w:ascii="Times New Roman" w:hAnsi="Times New Roman" w:eastAsia="仿宋_GB2312" w:cs="Times New Roman"/>
          <w:sz w:val="32"/>
          <w:szCs w:val="32"/>
        </w:rPr>
        <w:t>内容如有不当之处，请业界不吝指导</w:t>
      </w:r>
      <w:r>
        <w:rPr>
          <w:rFonts w:hint="eastAsia" w:ascii="Times New Roman" w:hAnsi="Times New Roman" w:eastAsia="仿宋_GB2312" w:cs="Times New Roman"/>
          <w:sz w:val="32"/>
          <w:szCs w:val="32"/>
        </w:rPr>
        <w:t>。因锂电池水路运输规则变化比较频繁，在此特别提示使用者，在进行锂电池</w:t>
      </w:r>
      <w:r>
        <w:rPr>
          <w:rFonts w:hint="eastAsia" w:ascii="Times New Roman" w:hAnsi="Times New Roman" w:eastAsia="仿宋_GB2312" w:cs="Times New Roman"/>
          <w:sz w:val="32"/>
          <w:szCs w:val="32"/>
          <w:lang w:eastAsia="zh-CN"/>
        </w:rPr>
        <w:t>产品</w:t>
      </w:r>
      <w:r>
        <w:rPr>
          <w:rFonts w:hint="eastAsia" w:ascii="Times New Roman" w:hAnsi="Times New Roman" w:eastAsia="仿宋_GB2312" w:cs="Times New Roman"/>
          <w:sz w:val="32"/>
          <w:szCs w:val="32"/>
        </w:rPr>
        <w:t>水路运输时，请遵守最新公约及法律法规要求。本指南也将适时进行更新。如对本指南有任何疑问或有修改意见请及时和我们联系，非常感谢。</w:t>
      </w:r>
    </w:p>
    <w:p>
      <w:pPr>
        <w:widowControl/>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邮箱：     电话：  </w:t>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numPr>
          <w:ilvl w:val="0"/>
          <w:numId w:val="1"/>
        </w:numPr>
        <w:spacing w:line="560" w:lineRule="exact"/>
        <w:rPr>
          <w:rFonts w:ascii="Times New Roman" w:hAnsi="Times New Roman" w:eastAsia="黑体" w:cs="Times New Roman"/>
          <w:sz w:val="32"/>
          <w:szCs w:val="32"/>
        </w:rPr>
      </w:pPr>
      <w:r>
        <w:rPr>
          <w:rFonts w:ascii="Times New Roman" w:hAnsi="Times New Roman" w:eastAsia="黑体" w:cs="Times New Roman"/>
          <w:sz w:val="32"/>
          <w:szCs w:val="32"/>
        </w:rPr>
        <w:t>锂电池</w:t>
      </w:r>
      <w:r>
        <w:rPr>
          <w:rFonts w:hint="eastAsia" w:ascii="Times New Roman" w:hAnsi="Times New Roman" w:eastAsia="黑体" w:cs="Times New Roman"/>
          <w:sz w:val="32"/>
          <w:szCs w:val="32"/>
        </w:rPr>
        <w:t>产品</w:t>
      </w:r>
      <w:r>
        <w:rPr>
          <w:rFonts w:ascii="Times New Roman" w:hAnsi="Times New Roman" w:eastAsia="黑体" w:cs="Times New Roman"/>
          <w:sz w:val="32"/>
          <w:szCs w:val="32"/>
        </w:rPr>
        <w:t>的分类</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锂电池</w:t>
      </w:r>
      <w:r>
        <w:rPr>
          <w:rFonts w:hint="eastAsia" w:ascii="Times New Roman" w:hAnsi="Times New Roman" w:eastAsia="仿宋_GB2312" w:cs="Times New Roman"/>
          <w:color w:val="231F20"/>
          <w:kern w:val="0"/>
          <w:sz w:val="32"/>
          <w:szCs w:val="32"/>
          <w:lang w:bidi="ar"/>
        </w:rPr>
        <w:t>产品</w:t>
      </w:r>
      <w:r>
        <w:rPr>
          <w:rFonts w:ascii="Times New Roman" w:hAnsi="Times New Roman" w:eastAsia="仿宋_GB2312" w:cs="Times New Roman"/>
          <w:color w:val="231F20"/>
          <w:kern w:val="0"/>
          <w:sz w:val="32"/>
          <w:szCs w:val="32"/>
          <w:lang w:bidi="ar"/>
        </w:rPr>
        <w:t>在交付船舶运输前，应按照《国际海运危险货物规则》（《IMDG规则》）进行分类，确定其联合国编号、正确运输名称和类别。锂电池的分类应符合表1的要求。</w:t>
      </w:r>
    </w:p>
    <w:p>
      <w:pPr>
        <w:widowControl/>
        <w:kinsoku w:val="0"/>
        <w:autoSpaceDE w:val="0"/>
        <w:autoSpaceDN w:val="0"/>
        <w:adjustRightInd w:val="0"/>
        <w:snapToGrid w:val="0"/>
        <w:spacing w:before="20" w:line="560" w:lineRule="exact"/>
        <w:ind w:left="17"/>
        <w:jc w:val="center"/>
        <w:textAlignment w:val="baseline"/>
        <w:outlineLvl w:val="2"/>
        <w:rPr>
          <w:rFonts w:ascii="Times New Roman" w:hAnsi="Times New Roman" w:eastAsia="黑体" w:cs="Times New Roman"/>
          <w:snapToGrid w:val="0"/>
          <w:color w:val="000000"/>
          <w:spacing w:val="4"/>
          <w:kern w:val="0"/>
          <w:sz w:val="20"/>
          <w:szCs w:val="20"/>
          <w14:ligatures w14:val="none"/>
        </w:rPr>
      </w:pPr>
      <w:r>
        <w:rPr>
          <w:rFonts w:ascii="Times New Roman" w:hAnsi="Times New Roman" w:eastAsia="黑体" w:cs="Times New Roman"/>
          <w:snapToGrid w:val="0"/>
          <w:color w:val="000000"/>
          <w:spacing w:val="4"/>
          <w:kern w:val="0"/>
          <w:sz w:val="20"/>
          <w:szCs w:val="20"/>
          <w14:ligatures w14:val="none"/>
        </w:rPr>
        <w:t>表1锂电池产品分类</w:t>
      </w:r>
    </w:p>
    <w:tbl>
      <w:tblPr>
        <w:tblStyle w:val="10"/>
        <w:tblW w:w="8359"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4"/>
        <w:gridCol w:w="1066"/>
        <w:gridCol w:w="5340"/>
        <w:gridCol w:w="11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6" w:hRule="atLeast"/>
        </w:trPr>
        <w:tc>
          <w:tcPr>
            <w:tcW w:w="814" w:type="dxa"/>
            <w:vAlign w:val="center"/>
          </w:tcPr>
          <w:p>
            <w:pPr>
              <w:widowControl/>
              <w:spacing w:line="560" w:lineRule="exact"/>
              <w:rPr>
                <w:rFonts w:ascii="Times New Roman" w:hAnsi="Times New Roman" w:eastAsia="仿宋_GB2312" w:cs="Times New Roman"/>
                <w:color w:val="231F20"/>
                <w:kern w:val="0"/>
                <w:szCs w:val="21"/>
                <w:lang w:bidi="ar"/>
              </w:rPr>
            </w:pPr>
            <w:r>
              <w:rPr>
                <w:rFonts w:ascii="Times New Roman" w:hAnsi="Times New Roman" w:eastAsia="宋体" w:cs="Times New Roman"/>
                <w:color w:val="231F20"/>
                <w:kern w:val="0"/>
                <w:szCs w:val="21"/>
                <w:lang w:bidi="ar"/>
              </w:rPr>
              <w:t>序号</w:t>
            </w:r>
          </w:p>
        </w:tc>
        <w:tc>
          <w:tcPr>
            <w:tcW w:w="1066" w:type="dxa"/>
            <w:vAlign w:val="center"/>
          </w:tcPr>
          <w:p>
            <w:pPr>
              <w:widowControl/>
              <w:spacing w:line="560" w:lineRule="exact"/>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UN</w:t>
            </w:r>
            <w:r>
              <w:rPr>
                <w:rFonts w:ascii="Times New Roman" w:hAnsi="Times New Roman" w:eastAsia="宋体" w:cs="Times New Roman"/>
                <w:color w:val="231F20"/>
                <w:kern w:val="0"/>
                <w:szCs w:val="21"/>
                <w:lang w:bidi="ar"/>
              </w:rPr>
              <w:t>编号</w:t>
            </w:r>
          </w:p>
        </w:tc>
        <w:tc>
          <w:tcPr>
            <w:tcW w:w="5340" w:type="dxa"/>
            <w:vAlign w:val="center"/>
          </w:tcPr>
          <w:p>
            <w:pPr>
              <w:widowControl/>
              <w:spacing w:line="560" w:lineRule="exact"/>
              <w:ind w:firstLine="420" w:firstLineChars="200"/>
              <w:jc w:val="center"/>
              <w:rPr>
                <w:rFonts w:ascii="Times New Roman" w:hAnsi="Times New Roman" w:eastAsia="仿宋_GB2312" w:cs="Times New Roman"/>
                <w:color w:val="231F20"/>
                <w:kern w:val="0"/>
                <w:szCs w:val="21"/>
                <w:lang w:bidi="ar"/>
              </w:rPr>
            </w:pPr>
            <w:r>
              <w:rPr>
                <w:rFonts w:ascii="Times New Roman" w:hAnsi="Times New Roman" w:eastAsia="宋体" w:cs="Times New Roman"/>
                <w:color w:val="231F20"/>
                <w:kern w:val="0"/>
                <w:szCs w:val="21"/>
                <w:lang w:bidi="ar"/>
              </w:rPr>
              <w:t>正确运输名称</w:t>
            </w:r>
          </w:p>
        </w:tc>
        <w:tc>
          <w:tcPr>
            <w:tcW w:w="1139" w:type="dxa"/>
            <w:vAlign w:val="center"/>
          </w:tcPr>
          <w:p>
            <w:pPr>
              <w:widowControl/>
              <w:spacing w:line="560" w:lineRule="exact"/>
              <w:rPr>
                <w:rFonts w:ascii="Times New Roman" w:hAnsi="Times New Roman" w:eastAsia="仿宋_GB2312" w:cs="Times New Roman"/>
                <w:color w:val="231F20"/>
                <w:kern w:val="0"/>
                <w:szCs w:val="21"/>
                <w:lang w:bidi="ar"/>
              </w:rPr>
            </w:pPr>
            <w:r>
              <w:rPr>
                <w:rFonts w:hint="eastAsia" w:ascii="Times New Roman" w:hAnsi="Times New Roman" w:eastAsia="宋体" w:cs="Times New Roman"/>
                <w:color w:val="231F20"/>
                <w:kern w:val="0"/>
                <w:szCs w:val="21"/>
                <w:lang w:bidi="ar"/>
              </w:rPr>
              <w:t>危险</w:t>
            </w:r>
            <w:r>
              <w:rPr>
                <w:rFonts w:ascii="Times New Roman" w:hAnsi="Times New Roman" w:eastAsia="宋体" w:cs="Times New Roman"/>
                <w:color w:val="231F20"/>
                <w:kern w:val="0"/>
                <w:szCs w:val="21"/>
                <w:lang w:bidi="ar"/>
              </w:rPr>
              <w:t>类别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6" w:hRule="atLeast"/>
        </w:trPr>
        <w:tc>
          <w:tcPr>
            <w:tcW w:w="814" w:type="dxa"/>
            <w:vAlign w:val="center"/>
          </w:tcPr>
          <w:p>
            <w:pPr>
              <w:widowControl/>
              <w:spacing w:line="560" w:lineRule="exact"/>
              <w:jc w:val="center"/>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1</w:t>
            </w:r>
          </w:p>
        </w:tc>
        <w:tc>
          <w:tcPr>
            <w:tcW w:w="1066" w:type="dxa"/>
            <w:vAlign w:val="center"/>
          </w:tcPr>
          <w:p>
            <w:pPr>
              <w:widowControl/>
              <w:spacing w:line="560" w:lineRule="exact"/>
              <w:jc w:val="center"/>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3480</w:t>
            </w:r>
          </w:p>
        </w:tc>
        <w:tc>
          <w:tcPr>
            <w:tcW w:w="5340" w:type="dxa"/>
            <w:vAlign w:val="center"/>
          </w:tcPr>
          <w:p>
            <w:pPr>
              <w:widowControl/>
              <w:spacing w:line="560" w:lineRule="exact"/>
              <w:ind w:firstLine="420" w:firstLineChars="200"/>
              <w:jc w:val="center"/>
              <w:rPr>
                <w:rFonts w:ascii="Times New Roman" w:hAnsi="Times New Roman" w:eastAsia="仿宋_GB2312" w:cs="Times New Roman"/>
                <w:color w:val="231F20"/>
                <w:kern w:val="0"/>
                <w:szCs w:val="21"/>
                <w:lang w:bidi="ar"/>
              </w:rPr>
            </w:pPr>
            <w:r>
              <w:rPr>
                <w:rFonts w:ascii="Times New Roman" w:hAnsi="Times New Roman" w:eastAsia="宋体" w:cs="Times New Roman"/>
                <w:color w:val="231F20"/>
                <w:kern w:val="0"/>
                <w:szCs w:val="21"/>
                <w:lang w:bidi="ar"/>
              </w:rPr>
              <w:t>锂离子电池（包括锂离子聚合物电池）</w:t>
            </w:r>
          </w:p>
        </w:tc>
        <w:tc>
          <w:tcPr>
            <w:tcW w:w="1139" w:type="dxa"/>
          </w:tcPr>
          <w:p>
            <w:pPr>
              <w:widowControl/>
              <w:spacing w:line="560" w:lineRule="exact"/>
              <w:ind w:firstLine="420" w:firstLineChars="200"/>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81" w:hRule="atLeast"/>
        </w:trPr>
        <w:tc>
          <w:tcPr>
            <w:tcW w:w="814" w:type="dxa"/>
            <w:vAlign w:val="center"/>
          </w:tcPr>
          <w:p>
            <w:pPr>
              <w:widowControl/>
              <w:spacing w:line="560" w:lineRule="exact"/>
              <w:jc w:val="center"/>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2</w:t>
            </w:r>
          </w:p>
        </w:tc>
        <w:tc>
          <w:tcPr>
            <w:tcW w:w="1066" w:type="dxa"/>
            <w:vAlign w:val="center"/>
          </w:tcPr>
          <w:p>
            <w:pPr>
              <w:widowControl/>
              <w:spacing w:line="560" w:lineRule="exact"/>
              <w:jc w:val="center"/>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3481</w:t>
            </w:r>
            <w:r>
              <w:rPr>
                <w:rFonts w:ascii="Times New Roman" w:hAnsi="Times New Roman" w:eastAsia="仿宋_GB2312" w:cs="Times New Roman"/>
                <w:color w:val="231F20"/>
                <w:kern w:val="0"/>
                <w:szCs w:val="21"/>
                <w:vertAlign w:val="superscript"/>
                <w:lang w:bidi="ar"/>
              </w:rPr>
              <w:footnoteReference w:id="0"/>
            </w:r>
          </w:p>
        </w:tc>
        <w:tc>
          <w:tcPr>
            <w:tcW w:w="5340" w:type="dxa"/>
            <w:vAlign w:val="center"/>
          </w:tcPr>
          <w:p>
            <w:pPr>
              <w:widowControl/>
              <w:spacing w:line="560" w:lineRule="exact"/>
              <w:ind w:firstLine="420" w:firstLineChars="200"/>
              <w:jc w:val="center"/>
              <w:rPr>
                <w:rFonts w:ascii="Times New Roman" w:hAnsi="Times New Roman" w:eastAsia="仿宋_GB2312" w:cs="Times New Roman"/>
                <w:color w:val="231F20"/>
                <w:kern w:val="0"/>
                <w:szCs w:val="21"/>
                <w:lang w:bidi="ar"/>
              </w:rPr>
            </w:pPr>
            <w:r>
              <w:rPr>
                <w:rFonts w:ascii="Times New Roman" w:hAnsi="Times New Roman" w:eastAsia="宋体" w:cs="Times New Roman"/>
                <w:color w:val="231F20"/>
                <w:kern w:val="0"/>
                <w:szCs w:val="21"/>
                <w:lang w:bidi="ar"/>
              </w:rPr>
              <w:t>设备中锂离子电池（包括锂离子聚合物电池）或同设备包装在一起的锂离子电池（包括锂离子聚合物电池）</w:t>
            </w:r>
          </w:p>
        </w:tc>
        <w:tc>
          <w:tcPr>
            <w:tcW w:w="1139" w:type="dxa"/>
          </w:tcPr>
          <w:p>
            <w:pPr>
              <w:widowControl/>
              <w:spacing w:line="560" w:lineRule="exact"/>
              <w:ind w:firstLine="420" w:firstLineChars="200"/>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6" w:hRule="atLeast"/>
        </w:trPr>
        <w:tc>
          <w:tcPr>
            <w:tcW w:w="814" w:type="dxa"/>
            <w:vAlign w:val="center"/>
          </w:tcPr>
          <w:p>
            <w:pPr>
              <w:widowControl/>
              <w:spacing w:line="560" w:lineRule="exact"/>
              <w:jc w:val="center"/>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3</w:t>
            </w:r>
          </w:p>
        </w:tc>
        <w:tc>
          <w:tcPr>
            <w:tcW w:w="1066" w:type="dxa"/>
            <w:vAlign w:val="center"/>
          </w:tcPr>
          <w:p>
            <w:pPr>
              <w:widowControl/>
              <w:spacing w:line="560" w:lineRule="exact"/>
              <w:jc w:val="center"/>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3090</w:t>
            </w:r>
          </w:p>
        </w:tc>
        <w:tc>
          <w:tcPr>
            <w:tcW w:w="5340" w:type="dxa"/>
            <w:vAlign w:val="center"/>
          </w:tcPr>
          <w:p>
            <w:pPr>
              <w:widowControl/>
              <w:spacing w:line="560" w:lineRule="exact"/>
              <w:ind w:firstLine="420" w:firstLineChars="200"/>
              <w:jc w:val="center"/>
              <w:rPr>
                <w:rFonts w:ascii="Times New Roman" w:hAnsi="Times New Roman" w:eastAsia="仿宋_GB2312" w:cs="Times New Roman"/>
                <w:color w:val="231F20"/>
                <w:kern w:val="0"/>
                <w:szCs w:val="21"/>
                <w:lang w:bidi="ar"/>
              </w:rPr>
            </w:pPr>
            <w:r>
              <w:rPr>
                <w:rFonts w:ascii="Times New Roman" w:hAnsi="Times New Roman" w:eastAsia="宋体" w:cs="Times New Roman"/>
                <w:color w:val="231F20"/>
                <w:kern w:val="0"/>
                <w:szCs w:val="21"/>
                <w:lang w:bidi="ar"/>
              </w:rPr>
              <w:t>锂金属电池（包括锂合金电池）</w:t>
            </w:r>
          </w:p>
        </w:tc>
        <w:tc>
          <w:tcPr>
            <w:tcW w:w="1139" w:type="dxa"/>
          </w:tcPr>
          <w:p>
            <w:pPr>
              <w:widowControl/>
              <w:spacing w:line="560" w:lineRule="exact"/>
              <w:ind w:firstLine="420" w:firstLineChars="200"/>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81" w:hRule="atLeast"/>
        </w:trPr>
        <w:tc>
          <w:tcPr>
            <w:tcW w:w="814" w:type="dxa"/>
            <w:vAlign w:val="center"/>
          </w:tcPr>
          <w:p>
            <w:pPr>
              <w:widowControl/>
              <w:spacing w:line="560" w:lineRule="exact"/>
              <w:jc w:val="center"/>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4</w:t>
            </w:r>
          </w:p>
        </w:tc>
        <w:tc>
          <w:tcPr>
            <w:tcW w:w="1066" w:type="dxa"/>
            <w:vAlign w:val="center"/>
          </w:tcPr>
          <w:p>
            <w:pPr>
              <w:widowControl/>
              <w:spacing w:line="560" w:lineRule="exact"/>
              <w:jc w:val="center"/>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3091</w:t>
            </w:r>
            <w:r>
              <w:rPr>
                <w:rFonts w:ascii="Times New Roman" w:hAnsi="Times New Roman" w:eastAsia="仿宋_GB2312" w:cs="Times New Roman"/>
                <w:color w:val="231F20"/>
                <w:kern w:val="0"/>
                <w:szCs w:val="21"/>
                <w:vertAlign w:val="superscript"/>
                <w:lang w:bidi="ar"/>
              </w:rPr>
              <w:footnoteReference w:id="1"/>
            </w:r>
          </w:p>
        </w:tc>
        <w:tc>
          <w:tcPr>
            <w:tcW w:w="5340" w:type="dxa"/>
            <w:vAlign w:val="center"/>
          </w:tcPr>
          <w:p>
            <w:pPr>
              <w:widowControl/>
              <w:spacing w:line="560" w:lineRule="exact"/>
              <w:ind w:firstLine="420" w:firstLineChars="200"/>
              <w:jc w:val="center"/>
              <w:rPr>
                <w:rFonts w:ascii="Times New Roman" w:hAnsi="Times New Roman" w:eastAsia="仿宋_GB2312" w:cs="Times New Roman"/>
                <w:color w:val="231F20"/>
                <w:kern w:val="0"/>
                <w:szCs w:val="21"/>
                <w:lang w:bidi="ar"/>
              </w:rPr>
            </w:pPr>
            <w:r>
              <w:rPr>
                <w:rFonts w:ascii="Times New Roman" w:hAnsi="Times New Roman" w:eastAsia="宋体" w:cs="Times New Roman"/>
                <w:color w:val="231F20"/>
                <w:kern w:val="0"/>
                <w:szCs w:val="21"/>
                <w:lang w:bidi="ar"/>
              </w:rPr>
              <w:t>设备中锂金属电池（包括锂合金电池）或同设备包装在一起的锂金属电池（包括锂合金电池）</w:t>
            </w:r>
          </w:p>
        </w:tc>
        <w:tc>
          <w:tcPr>
            <w:tcW w:w="1139" w:type="dxa"/>
          </w:tcPr>
          <w:p>
            <w:pPr>
              <w:widowControl/>
              <w:spacing w:line="560" w:lineRule="exact"/>
              <w:ind w:firstLine="420" w:firstLineChars="200"/>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92" w:hRule="atLeast"/>
        </w:trPr>
        <w:tc>
          <w:tcPr>
            <w:tcW w:w="814" w:type="dxa"/>
            <w:vAlign w:val="center"/>
          </w:tcPr>
          <w:p>
            <w:pPr>
              <w:widowControl/>
              <w:spacing w:line="560" w:lineRule="exact"/>
              <w:jc w:val="center"/>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5</w:t>
            </w:r>
          </w:p>
        </w:tc>
        <w:tc>
          <w:tcPr>
            <w:tcW w:w="1066" w:type="dxa"/>
            <w:vAlign w:val="center"/>
          </w:tcPr>
          <w:p>
            <w:pPr>
              <w:widowControl/>
              <w:spacing w:line="560" w:lineRule="exact"/>
              <w:jc w:val="center"/>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3536</w:t>
            </w:r>
            <w:r>
              <w:rPr>
                <w:rFonts w:ascii="Times New Roman" w:hAnsi="Times New Roman" w:eastAsia="仿宋_GB2312" w:cs="Times New Roman"/>
                <w:color w:val="231F20"/>
                <w:kern w:val="0"/>
                <w:szCs w:val="21"/>
                <w:vertAlign w:val="superscript"/>
                <w:lang w:bidi="ar"/>
              </w:rPr>
              <w:footnoteReference w:id="2"/>
            </w:r>
          </w:p>
        </w:tc>
        <w:tc>
          <w:tcPr>
            <w:tcW w:w="5340" w:type="dxa"/>
            <w:vAlign w:val="center"/>
          </w:tcPr>
          <w:p>
            <w:pPr>
              <w:widowControl/>
              <w:spacing w:line="560" w:lineRule="exact"/>
              <w:ind w:firstLine="420" w:firstLineChars="200"/>
              <w:jc w:val="center"/>
              <w:rPr>
                <w:rFonts w:ascii="Times New Roman" w:hAnsi="Times New Roman" w:eastAsia="仿宋_GB2312" w:cs="Times New Roman"/>
                <w:color w:val="231F20"/>
                <w:kern w:val="0"/>
                <w:szCs w:val="21"/>
                <w:lang w:bidi="ar"/>
              </w:rPr>
            </w:pPr>
            <w:r>
              <w:rPr>
                <w:rFonts w:ascii="Times New Roman" w:hAnsi="Times New Roman" w:eastAsia="宋体" w:cs="Times New Roman"/>
                <w:color w:val="231F20"/>
                <w:kern w:val="0"/>
                <w:szCs w:val="21"/>
                <w:lang w:bidi="ar"/>
              </w:rPr>
              <w:t>安装在货物运输组件中的锂电池（锂离子电池和锂金属电池）</w:t>
            </w:r>
          </w:p>
        </w:tc>
        <w:tc>
          <w:tcPr>
            <w:tcW w:w="1139" w:type="dxa"/>
          </w:tcPr>
          <w:p>
            <w:pPr>
              <w:widowControl/>
              <w:spacing w:line="560" w:lineRule="exact"/>
              <w:ind w:firstLine="420" w:firstLineChars="200"/>
              <w:rPr>
                <w:rFonts w:ascii="Times New Roman" w:hAnsi="Times New Roman" w:eastAsia="仿宋_GB2312" w:cs="Times New Roman"/>
                <w:color w:val="231F20"/>
                <w:kern w:val="0"/>
                <w:szCs w:val="21"/>
                <w:lang w:bidi="ar"/>
              </w:rPr>
            </w:pPr>
            <w:r>
              <w:rPr>
                <w:rFonts w:ascii="Times New Roman" w:hAnsi="Times New Roman" w:eastAsia="仿宋_GB2312" w:cs="Times New Roman"/>
                <w:color w:val="231F20"/>
                <w:kern w:val="0"/>
                <w:szCs w:val="21"/>
                <w:lang w:bidi="ar"/>
              </w:rPr>
              <w:t>9</w:t>
            </w:r>
          </w:p>
        </w:tc>
      </w:tr>
    </w:tbl>
    <w:p>
      <w:pPr>
        <w:widowControl/>
        <w:spacing w:line="560" w:lineRule="exact"/>
        <w:ind w:firstLine="640" w:firstLineChars="200"/>
        <w:rPr>
          <w:rFonts w:ascii="Times New Roman" w:hAnsi="Times New Roman"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对锂电池产品分类不明确的，生产企业可以提交产品至具有相应资质的评估机构进行检测，由评估机构出具锂电池产品的分类鉴定报告或运输条件鉴定报告，以确定分类或是否适用</w:t>
      </w:r>
      <w:r>
        <w:rPr>
          <w:rFonts w:ascii="Times New Roman" w:hAnsi="Times New Roman" w:eastAsia="仿宋_GB2312" w:cs="Times New Roman"/>
          <w:color w:val="231F20"/>
          <w:kern w:val="0"/>
          <w:sz w:val="32"/>
          <w:szCs w:val="32"/>
          <w:lang w:bidi="ar"/>
        </w:rPr>
        <w:t>《IMDG规则》</w:t>
      </w:r>
      <w:r>
        <w:rPr>
          <w:rFonts w:hint="eastAsia" w:ascii="Times New Roman" w:hAnsi="Times New Roman" w:eastAsia="仿宋_GB2312" w:cs="Times New Roman"/>
          <w:color w:val="231F20"/>
          <w:kern w:val="0"/>
          <w:sz w:val="32"/>
          <w:szCs w:val="32"/>
          <w:lang w:bidi="ar"/>
        </w:rPr>
        <w:t>特殊条款188（简称“SP188条款”）。符合SP188条款的锂电池产品详见附件Ⅳ。</w:t>
      </w:r>
    </w:p>
    <w:p>
      <w:pPr>
        <w:numPr>
          <w:ilvl w:val="0"/>
          <w:numId w:val="1"/>
        </w:numPr>
        <w:spacing w:line="560" w:lineRule="exact"/>
        <w:rPr>
          <w:rFonts w:ascii="Times New Roman" w:hAnsi="Times New Roman" w:eastAsia="黑体" w:cs="Times New Roman"/>
          <w:sz w:val="32"/>
          <w:szCs w:val="32"/>
        </w:rPr>
      </w:pPr>
      <w:bookmarkStart w:id="1" w:name="_Hlk176446649"/>
      <w:r>
        <w:rPr>
          <w:rFonts w:ascii="Times New Roman" w:hAnsi="Times New Roman" w:eastAsia="黑体" w:cs="Times New Roman"/>
          <w:sz w:val="32"/>
          <w:szCs w:val="32"/>
        </w:rPr>
        <w:t>锂电池产品</w:t>
      </w:r>
      <w:r>
        <w:rPr>
          <w:rFonts w:hint="eastAsia" w:ascii="Times New Roman" w:hAnsi="Times New Roman" w:eastAsia="黑体" w:cs="Times New Roman"/>
          <w:sz w:val="32"/>
          <w:szCs w:val="32"/>
        </w:rPr>
        <w:t>水路运输流程</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仿宋_GB2312" w:cs="Times New Roman"/>
          <w:color w:val="231F20"/>
          <w:sz w:val="32"/>
          <w:szCs w:val="32"/>
          <w:lang w:bidi="ar"/>
        </w:rPr>
        <w:drawing>
          <wp:anchor distT="0" distB="0" distL="114300" distR="114300" simplePos="0" relativeHeight="251687936" behindDoc="0" locked="0" layoutInCell="1" allowOverlap="1">
            <wp:simplePos x="0" y="0"/>
            <wp:positionH relativeFrom="margin">
              <wp:align>center</wp:align>
            </wp:positionH>
            <wp:positionV relativeFrom="paragraph">
              <wp:posOffset>759460</wp:posOffset>
            </wp:positionV>
            <wp:extent cx="3733800" cy="3733800"/>
            <wp:effectExtent l="0" t="0" r="0" b="0"/>
            <wp:wrapTopAndBottom/>
            <wp:docPr id="10958752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75220" name="图片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33800" cy="3733800"/>
                    </a:xfrm>
                    <a:prstGeom prst="rect">
                      <a:avLst/>
                    </a:prstGeom>
                    <a:noFill/>
                  </pic:spPr>
                </pic:pic>
              </a:graphicData>
            </a:graphic>
          </wp:anchor>
        </w:drawing>
      </w:r>
      <w:r>
        <w:rPr>
          <w:rFonts w:hint="eastAsia" w:ascii="Times New Roman" w:hAnsi="Times New Roman" w:eastAsia="仿宋_GB2312" w:cs="Times New Roman"/>
          <w:color w:val="231F20"/>
          <w:kern w:val="0"/>
          <w:sz w:val="32"/>
          <w:szCs w:val="32"/>
          <w:lang w:bidi="ar"/>
        </w:rPr>
        <w:t>锂电池产品水路运输包括生产、检测、订舱、装箱、申报和装船运输等环节，具体流程如图1所示：</w:t>
      </w:r>
    </w:p>
    <w:p>
      <w:pPr>
        <w:widowControl/>
        <w:kinsoku w:val="0"/>
        <w:autoSpaceDE w:val="0"/>
        <w:autoSpaceDN w:val="0"/>
        <w:adjustRightInd w:val="0"/>
        <w:snapToGrid w:val="0"/>
        <w:spacing w:before="20" w:line="560" w:lineRule="exact"/>
        <w:ind w:left="17"/>
        <w:jc w:val="center"/>
        <w:textAlignment w:val="baseline"/>
        <w:outlineLvl w:val="2"/>
        <w:rPr>
          <w:rFonts w:ascii="Times New Roman" w:hAnsi="Times New Roman" w:eastAsia="黑体" w:cs="Times New Roman"/>
          <w:snapToGrid w:val="0"/>
          <w:color w:val="000000"/>
          <w:spacing w:val="4"/>
          <w:kern w:val="0"/>
          <w:sz w:val="20"/>
          <w:szCs w:val="20"/>
          <w14:ligatures w14:val="none"/>
        </w:rPr>
      </w:pPr>
      <w:r>
        <w:rPr>
          <w:rFonts w:hint="eastAsia" w:ascii="Times New Roman" w:hAnsi="Times New Roman" w:eastAsia="黑体" w:cs="Times New Roman"/>
          <w:snapToGrid w:val="0"/>
          <w:color w:val="000000"/>
          <w:spacing w:val="4"/>
          <w:kern w:val="0"/>
          <w:sz w:val="20"/>
          <w:szCs w:val="20"/>
          <w14:ligatures w14:val="none"/>
        </w:rPr>
        <w:t>图1  锂电池产品水路运输流程图</w:t>
      </w:r>
    </w:p>
    <w:p>
      <w:pPr>
        <w:spacing w:line="560" w:lineRule="exact"/>
        <w:ind w:firstLine="640" w:firstLineChars="200"/>
        <w:rPr>
          <w:rFonts w:ascii="Times New Roman" w:hAnsi="Times New Roman" w:eastAsia="黑体" w:cs="Times New Roman"/>
          <w:sz w:val="32"/>
          <w:szCs w:val="32"/>
        </w:rPr>
      </w:pPr>
      <w:r>
        <w:rPr>
          <w:rFonts w:hint="eastAsia" w:ascii="Times New Roman" w:hAnsi="Times New Roman" w:eastAsia="仿宋_GB2312" w:cs="Times New Roman"/>
          <w:color w:val="231F20"/>
          <w:kern w:val="0"/>
          <w:sz w:val="32"/>
          <w:szCs w:val="32"/>
          <w:lang w:bidi="ar"/>
        </w:rPr>
        <w:t>从事</w:t>
      </w:r>
      <w:r>
        <w:rPr>
          <w:rFonts w:ascii="Times New Roman" w:hAnsi="Times New Roman" w:eastAsia="仿宋_GB2312" w:cs="Times New Roman"/>
          <w:color w:val="231F20"/>
          <w:kern w:val="0"/>
          <w:sz w:val="32"/>
          <w:szCs w:val="32"/>
          <w:lang w:bidi="ar"/>
        </w:rPr>
        <w:t>锂电池产品</w:t>
      </w:r>
      <w:r>
        <w:rPr>
          <w:rFonts w:hint="eastAsia" w:ascii="Times New Roman" w:hAnsi="Times New Roman" w:eastAsia="仿宋_GB2312" w:cs="Times New Roman"/>
          <w:color w:val="231F20"/>
          <w:kern w:val="0"/>
          <w:sz w:val="32"/>
          <w:szCs w:val="32"/>
          <w:lang w:bidi="ar"/>
        </w:rPr>
        <w:t>产、销、运的企业和个人需要注意了解锂电池水路运输的法规、标准和规定，确保产品符合水路安全运输的要求；准备相关资料，包括检测材料、包装检验合格证明、产品安全技术说明书等；提前订舱；安排有资质的装箱检查员完成装箱作业；开展海事申报，在审核通过后安排锂电池产品装船运输，确保货物安全到达目的地。</w:t>
      </w:r>
    </w:p>
    <w:p>
      <w:pPr>
        <w:numPr>
          <w:ilvl w:val="0"/>
          <w:numId w:val="1"/>
        </w:numPr>
        <w:spacing w:line="560" w:lineRule="exact"/>
        <w:rPr>
          <w:rFonts w:ascii="Times New Roman" w:hAnsi="Times New Roman" w:eastAsia="黑体" w:cs="Times New Roman"/>
          <w:sz w:val="32"/>
          <w:szCs w:val="32"/>
        </w:rPr>
      </w:pPr>
      <w:r>
        <w:rPr>
          <w:rFonts w:ascii="Times New Roman" w:hAnsi="Times New Roman" w:eastAsia="黑体" w:cs="Times New Roman"/>
          <w:sz w:val="32"/>
          <w:szCs w:val="32"/>
        </w:rPr>
        <w:t>锂电池产品</w:t>
      </w:r>
      <w:r>
        <w:rPr>
          <w:rFonts w:hint="eastAsia" w:ascii="Times New Roman" w:hAnsi="Times New Roman" w:eastAsia="黑体" w:cs="Times New Roman"/>
          <w:sz w:val="32"/>
          <w:szCs w:val="32"/>
        </w:rPr>
        <w:t>水路运输各环节操作指南</w:t>
      </w:r>
    </w:p>
    <w:p>
      <w:pPr>
        <w:spacing w:line="560" w:lineRule="exact"/>
        <w:ind w:firstLine="643" w:firstLineChars="200"/>
        <w:rPr>
          <w:rFonts w:ascii="楷体_GB2312" w:hAnsi="Times New Roman" w:eastAsia="楷体_GB2312" w:cs="Times New Roman"/>
          <w:b/>
          <w:bCs/>
          <w:color w:val="231F20"/>
          <w:kern w:val="0"/>
          <w:sz w:val="32"/>
          <w:szCs w:val="32"/>
          <w:lang w:bidi="ar"/>
        </w:rPr>
      </w:pPr>
      <w:r>
        <w:rPr>
          <w:rFonts w:ascii="Times New Roman" w:hAnsi="Times New Roman" w:eastAsia="楷体_GB2312" w:cs="Times New Roman"/>
          <w:b/>
          <w:bCs/>
          <w:color w:val="231F20"/>
          <w:kern w:val="0"/>
          <w:sz w:val="32"/>
          <w:szCs w:val="32"/>
          <w:lang w:bidi="ar"/>
        </w:rPr>
        <w:t xml:space="preserve">3.1 </w:t>
      </w:r>
      <w:r>
        <w:rPr>
          <w:rFonts w:hint="eastAsia" w:ascii="Times New Roman" w:hAnsi="Times New Roman" w:eastAsia="楷体_GB2312" w:cs="Times New Roman"/>
          <w:b/>
          <w:bCs/>
          <w:color w:val="231F20"/>
          <w:kern w:val="0"/>
          <w:sz w:val="32"/>
          <w:szCs w:val="32"/>
          <w:lang w:bidi="ar"/>
        </w:rPr>
        <w:t>水路运输</w:t>
      </w:r>
      <w:r>
        <w:rPr>
          <w:rFonts w:hint="eastAsia" w:ascii="楷体_GB2312" w:hAnsi="Times New Roman" w:eastAsia="楷体_GB2312" w:cs="Times New Roman"/>
          <w:b/>
          <w:bCs/>
          <w:color w:val="231F20"/>
          <w:kern w:val="0"/>
          <w:sz w:val="32"/>
          <w:szCs w:val="32"/>
          <w:lang w:bidi="ar"/>
        </w:rPr>
        <w:t>安全要求</w:t>
      </w:r>
    </w:p>
    <w:bookmarkEnd w:id="1"/>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3.1.1</w:t>
      </w:r>
      <w:r>
        <w:rPr>
          <w:rFonts w:ascii="Times New Roman" w:hAnsi="Times New Roman" w:eastAsia="仿宋_GB2312" w:cs="Times New Roman"/>
          <w:color w:val="231F20"/>
          <w:kern w:val="0"/>
          <w:sz w:val="32"/>
          <w:szCs w:val="32"/>
          <w:lang w:bidi="ar"/>
        </w:rPr>
        <w:t>交付运输的锂电池应满足联合国《试验和标准手册》第三部分第38.3节的试验</w:t>
      </w:r>
      <w:r>
        <w:rPr>
          <w:rFonts w:hint="eastAsia" w:ascii="Times New Roman" w:hAnsi="Times New Roman" w:eastAsia="仿宋_GB2312" w:cs="Times New Roman"/>
          <w:color w:val="231F20"/>
          <w:kern w:val="0"/>
          <w:sz w:val="32"/>
          <w:szCs w:val="32"/>
          <w:lang w:bidi="ar"/>
        </w:rPr>
        <w:t>（简称“UN38.3试验”）</w:t>
      </w:r>
      <w:r>
        <w:rPr>
          <w:rFonts w:ascii="Times New Roman" w:hAnsi="Times New Roman" w:eastAsia="仿宋_GB2312" w:cs="Times New Roman"/>
          <w:color w:val="231F20"/>
          <w:kern w:val="0"/>
          <w:sz w:val="32"/>
          <w:szCs w:val="32"/>
          <w:lang w:bidi="ar"/>
        </w:rPr>
        <w:t>要求。除安装在设备（包括电路板）中的纽扣电池，锂电池通过船舶运输时，托运人应向船方提交UN38.3试验摘要。UN38.3测试要求和试验摘要示例详见附件</w:t>
      </w:r>
      <w:r>
        <w:rPr>
          <w:rFonts w:ascii="Times New Roman" w:hAnsi="Times New Roman" w:cs="Times New Roman"/>
          <w:color w:val="231F20"/>
          <w:kern w:val="0"/>
          <w:sz w:val="32"/>
          <w:szCs w:val="32"/>
          <w:lang w:bidi="ar"/>
        </w:rPr>
        <w:t>Ⅰ</w:t>
      </w:r>
      <w:r>
        <w:rPr>
          <w:rFonts w:ascii="Times New Roman" w:hAnsi="Times New Roman" w:eastAsia="仿宋_GB2312" w:cs="Times New Roman"/>
          <w:color w:val="231F20"/>
          <w:kern w:val="0"/>
          <w:sz w:val="32"/>
          <w:szCs w:val="32"/>
          <w:lang w:bidi="ar"/>
        </w:rPr>
        <w:t>。</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3.1.2</w:t>
      </w:r>
      <w:r>
        <w:rPr>
          <w:rFonts w:ascii="Times New Roman" w:hAnsi="Times New Roman" w:eastAsia="仿宋_GB2312" w:cs="Times New Roman"/>
          <w:color w:val="231F20"/>
          <w:kern w:val="0"/>
          <w:sz w:val="32"/>
          <w:szCs w:val="32"/>
          <w:lang w:bidi="ar"/>
        </w:rPr>
        <w:t>锂电池应装有安全排气装置，或设计上能防止在正常运输条件下受力破裂。</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3.1.3</w:t>
      </w:r>
      <w:r>
        <w:rPr>
          <w:rFonts w:ascii="Times New Roman" w:hAnsi="Times New Roman" w:eastAsia="仿宋_GB2312" w:cs="Times New Roman"/>
          <w:color w:val="231F20"/>
          <w:kern w:val="0"/>
          <w:sz w:val="32"/>
          <w:szCs w:val="32"/>
          <w:lang w:bidi="ar"/>
        </w:rPr>
        <w:t>锂电池应采取措施防止外部短路。保护措施包括但不限于以下一种或多种方式：</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（1）锂电池正负极端子采用绝缘保护套；</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（2）锂电池采用独立绝缘的内包装；</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（3）锂电池采取凹陷电极设计；</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（4）锂电池之间采用非易燃和非导电缓冲绝缘材料填充。</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3.1.4</w:t>
      </w:r>
      <w:r>
        <w:rPr>
          <w:rFonts w:ascii="Times New Roman" w:hAnsi="Times New Roman" w:eastAsia="仿宋_GB2312" w:cs="Times New Roman"/>
          <w:color w:val="231F20"/>
          <w:kern w:val="0"/>
          <w:sz w:val="32"/>
          <w:szCs w:val="32"/>
          <w:lang w:bidi="ar"/>
        </w:rPr>
        <w:t>包含多个并联单体电池结构的电池组，应装有防止危险的反向电流的有效装置（例如二极管、熔断器等）。</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3.1.5</w:t>
      </w:r>
      <w:r>
        <w:rPr>
          <w:rFonts w:ascii="Times New Roman" w:hAnsi="Times New Roman" w:eastAsia="仿宋_GB2312" w:cs="Times New Roman"/>
          <w:color w:val="231F20"/>
          <w:kern w:val="0"/>
          <w:sz w:val="32"/>
          <w:szCs w:val="32"/>
          <w:lang w:bidi="ar"/>
        </w:rPr>
        <w:t>锂电池的制造应符合质量管理方案要求。</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3.1.6</w:t>
      </w:r>
      <w:r>
        <w:rPr>
          <w:rFonts w:ascii="Times New Roman" w:hAnsi="Times New Roman" w:eastAsia="仿宋_GB2312" w:cs="Times New Roman"/>
          <w:color w:val="231F20"/>
          <w:kern w:val="0"/>
          <w:sz w:val="32"/>
          <w:szCs w:val="32"/>
          <w:lang w:bidi="ar"/>
        </w:rPr>
        <w:t>锂电池组应在电池外壳上标记额定能量，单位为瓦特小时（Wh）。</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3.1.7</w:t>
      </w:r>
      <w:r>
        <w:rPr>
          <w:rFonts w:ascii="Times New Roman" w:hAnsi="Times New Roman" w:eastAsia="仿宋_GB2312" w:cs="Times New Roman"/>
          <w:color w:val="231F20"/>
          <w:kern w:val="0"/>
          <w:sz w:val="32"/>
          <w:szCs w:val="32"/>
          <w:lang w:bidi="ar"/>
        </w:rPr>
        <w:t>划分为UN3536的锂电池储能系统，应配备必要的防止电池之间过度充电和放电的系统。锂电池应牢固地连接在货物运输组件的架子或柜子等内部结构中。货物运输组件中的储能交流器、监控系统等电器设备应处于断电状态，电池组的串联和并联回路应处于断开状态。</w:t>
      </w:r>
    </w:p>
    <w:p>
      <w:pPr>
        <w:spacing w:line="560" w:lineRule="exact"/>
        <w:ind w:firstLine="643" w:firstLineChars="200"/>
        <w:rPr>
          <w:rFonts w:ascii="Times New Roman" w:hAnsi="Times New Roman" w:eastAsia="楷体_GB2312" w:cs="Times New Roman"/>
          <w:b/>
          <w:bCs/>
          <w:color w:val="231F20"/>
          <w:kern w:val="0"/>
          <w:sz w:val="32"/>
          <w:szCs w:val="32"/>
          <w:lang w:bidi="ar"/>
        </w:rPr>
      </w:pPr>
      <w:r>
        <w:rPr>
          <w:rFonts w:hint="eastAsia" w:ascii="Times New Roman" w:hAnsi="Times New Roman" w:eastAsia="楷体_GB2312" w:cs="Times New Roman"/>
          <w:b/>
          <w:bCs/>
          <w:color w:val="231F20"/>
          <w:kern w:val="0"/>
          <w:sz w:val="32"/>
          <w:szCs w:val="32"/>
          <w:lang w:bidi="ar"/>
        </w:rPr>
        <w:t>3.2</w:t>
      </w:r>
      <w:r>
        <w:rPr>
          <w:rFonts w:ascii="Times New Roman" w:hAnsi="Times New Roman" w:eastAsia="楷体_GB2312" w:cs="Times New Roman"/>
          <w:b/>
          <w:bCs/>
          <w:color w:val="231F20"/>
          <w:kern w:val="0"/>
          <w:sz w:val="32"/>
          <w:szCs w:val="32"/>
          <w:lang w:bidi="ar"/>
        </w:rPr>
        <w:t>锂电池</w:t>
      </w:r>
      <w:r>
        <w:rPr>
          <w:rFonts w:hint="eastAsia" w:ascii="Times New Roman" w:hAnsi="Times New Roman" w:eastAsia="楷体_GB2312" w:cs="Times New Roman"/>
          <w:b/>
          <w:bCs/>
          <w:color w:val="231F20"/>
          <w:kern w:val="0"/>
          <w:sz w:val="32"/>
          <w:szCs w:val="32"/>
          <w:lang w:bidi="ar"/>
        </w:rPr>
        <w:t>产品</w:t>
      </w:r>
      <w:r>
        <w:rPr>
          <w:rFonts w:ascii="Times New Roman" w:hAnsi="Times New Roman" w:eastAsia="楷体_GB2312" w:cs="Times New Roman"/>
          <w:b/>
          <w:bCs/>
          <w:color w:val="231F20"/>
          <w:kern w:val="0"/>
          <w:sz w:val="32"/>
          <w:szCs w:val="32"/>
          <w:lang w:bidi="ar"/>
        </w:rPr>
        <w:t>装箱</w:t>
      </w:r>
      <w:r>
        <w:rPr>
          <w:rFonts w:hint="eastAsia" w:ascii="Times New Roman" w:hAnsi="Times New Roman" w:eastAsia="楷体_GB2312" w:cs="Times New Roman"/>
          <w:b/>
          <w:bCs/>
          <w:color w:val="231F20"/>
          <w:kern w:val="0"/>
          <w:sz w:val="32"/>
          <w:szCs w:val="32"/>
          <w:lang w:bidi="ar"/>
        </w:rPr>
        <w:t>作业</w:t>
      </w:r>
    </w:p>
    <w:p>
      <w:pPr>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按照规定，锂电池产品的装箱作业要由通过从业资格考核，取得相应从业资格证书的船载危险货物集装箱现场检查人员（简称“装箱检查员”）进行</w:t>
      </w:r>
      <w:r>
        <w:rPr>
          <w:rStyle w:val="12"/>
          <w:rFonts w:ascii="Times New Roman" w:hAnsi="Times New Roman" w:eastAsia="仿宋_GB2312" w:cs="Times New Roman"/>
          <w:color w:val="231F20"/>
          <w:kern w:val="0"/>
          <w:sz w:val="32"/>
          <w:szCs w:val="32"/>
          <w:lang w:bidi="ar"/>
        </w:rPr>
        <w:footnoteReference w:id="3"/>
      </w:r>
      <w:r>
        <w:rPr>
          <w:rFonts w:hint="eastAsia" w:ascii="Times New Roman" w:hAnsi="Times New Roman" w:eastAsia="仿宋_GB2312" w:cs="Times New Roman"/>
          <w:color w:val="231F20"/>
          <w:kern w:val="0"/>
          <w:sz w:val="32"/>
          <w:szCs w:val="32"/>
          <w:lang w:bidi="ar"/>
        </w:rPr>
        <w:t>。装箱检查员报考条件、资格认定相关要求详见附件Ⅵ。</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锂电池生产企业可以聘用或者自己培养装箱检查员在工厂场地自行装箱，也可以委托专业的危险品堆场，在堆场进行监装。装箱检查员装箱作业完成后会签发《集装箱装箱证明书》，用于订舱和海事申报。</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装箱检查员在从事锂电池产品装箱作业时，应根据《IMDG规则》和GB40163《海运危险货物集装箱装箱安全技术要求》的规定，装箱应满足以下要求：</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3.2.1</w:t>
      </w:r>
      <w:r>
        <w:rPr>
          <w:rFonts w:ascii="Times New Roman" w:hAnsi="Times New Roman" w:eastAsia="仿宋_GB2312" w:cs="Times New Roman"/>
          <w:color w:val="231F20"/>
          <w:kern w:val="0"/>
          <w:sz w:val="32"/>
          <w:szCs w:val="32"/>
          <w:lang w:bidi="ar"/>
        </w:rPr>
        <w:t>拟盛装锂电池的集装箱应保证箱体状况良好，箱门密封良好，开闭顺利，角件、立柱、侧面及两端等不得有脱焊、破损、洞穿等缺陷，并经过船级社的有效检验，符合《1972年国际集装箱安全公约》的要求。</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w:t>
      </w:r>
      <w:r>
        <w:rPr>
          <w:rFonts w:ascii="Times New Roman" w:hAnsi="Times New Roman" w:eastAsia="仿宋_GB2312" w:cs="Times New Roman"/>
          <w:color w:val="231F20"/>
          <w:kern w:val="0"/>
          <w:sz w:val="32"/>
          <w:szCs w:val="32"/>
          <w:lang w:bidi="ar"/>
        </w:rPr>
        <w:t>2</w:t>
      </w:r>
      <w:r>
        <w:rPr>
          <w:rFonts w:hint="eastAsia" w:ascii="Times New Roman" w:hAnsi="Times New Roman" w:eastAsia="宋体" w:cs="Times New Roman"/>
          <w:color w:val="231F20"/>
          <w:kern w:val="0"/>
          <w:sz w:val="32"/>
          <w:szCs w:val="32"/>
          <w:lang w:bidi="ar"/>
        </w:rPr>
        <w:t>.2</w:t>
      </w:r>
      <w:r>
        <w:rPr>
          <w:rFonts w:ascii="Times New Roman" w:hAnsi="Times New Roman" w:eastAsia="仿宋_GB2312" w:cs="Times New Roman"/>
          <w:color w:val="231F20"/>
          <w:kern w:val="0"/>
          <w:sz w:val="32"/>
          <w:szCs w:val="32"/>
          <w:lang w:bidi="ar"/>
        </w:rPr>
        <w:t>装箱前要保证集装箱内地板完整、干燥、干净无污染。</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w:t>
      </w:r>
      <w:r>
        <w:rPr>
          <w:rFonts w:ascii="Times New Roman" w:hAnsi="Times New Roman" w:eastAsia="仿宋_GB2312" w:cs="Times New Roman"/>
          <w:color w:val="231F20"/>
          <w:kern w:val="0"/>
          <w:sz w:val="32"/>
          <w:szCs w:val="32"/>
          <w:lang w:bidi="ar"/>
        </w:rPr>
        <w:t>2</w:t>
      </w:r>
      <w:r>
        <w:rPr>
          <w:rFonts w:hint="eastAsia" w:ascii="Times New Roman" w:hAnsi="Times New Roman" w:eastAsia="宋体" w:cs="Times New Roman"/>
          <w:color w:val="231F20"/>
          <w:kern w:val="0"/>
          <w:sz w:val="32"/>
          <w:szCs w:val="32"/>
          <w:lang w:bidi="ar"/>
        </w:rPr>
        <w:t>.</w:t>
      </w:r>
      <w:r>
        <w:rPr>
          <w:rFonts w:ascii="Times New Roman" w:hAnsi="Times New Roman" w:eastAsia="仿宋_GB2312" w:cs="Times New Roman"/>
          <w:color w:val="231F20"/>
          <w:kern w:val="0"/>
          <w:sz w:val="32"/>
          <w:szCs w:val="32"/>
          <w:lang w:bidi="ar"/>
        </w:rPr>
        <w:t>3锂电池须盛装在质量良好的包装内，包装的性能和强度应符合《IMDG规则》第6部分的包装试验要求，能够经受装卸和海上运输的振动和压力等风险。具体的锂电池包装要求详见附件Ⅱ。</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w:t>
      </w:r>
      <w:r>
        <w:rPr>
          <w:rFonts w:ascii="Times New Roman" w:hAnsi="Times New Roman" w:eastAsia="仿宋_GB2312" w:cs="Times New Roman"/>
          <w:color w:val="231F20"/>
          <w:kern w:val="0"/>
          <w:sz w:val="32"/>
          <w:szCs w:val="32"/>
          <w:lang w:bidi="ar"/>
        </w:rPr>
        <w:t>2</w:t>
      </w:r>
      <w:r>
        <w:rPr>
          <w:rFonts w:hint="eastAsia" w:ascii="Times New Roman" w:hAnsi="Times New Roman" w:eastAsia="宋体" w:cs="Times New Roman"/>
          <w:color w:val="231F20"/>
          <w:kern w:val="0"/>
          <w:sz w:val="32"/>
          <w:szCs w:val="32"/>
          <w:lang w:bidi="ar"/>
        </w:rPr>
        <w:t>.</w:t>
      </w:r>
      <w:r>
        <w:rPr>
          <w:rFonts w:ascii="Times New Roman" w:hAnsi="Times New Roman" w:eastAsia="仿宋_GB2312" w:cs="Times New Roman"/>
          <w:color w:val="231F20"/>
          <w:kern w:val="0"/>
          <w:sz w:val="32"/>
          <w:szCs w:val="32"/>
          <w:lang w:bidi="ar"/>
        </w:rPr>
        <w:t>4拟盛装锂电池的包件和集装箱外表面应根据《IMDG规则》第5部分的要求正确显示危险品标志、标牌和标记。锂电池的标志、标牌和标记的具体要求详见附件Ⅲ。</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w:t>
      </w:r>
      <w:r>
        <w:rPr>
          <w:rFonts w:ascii="Times New Roman" w:hAnsi="Times New Roman" w:eastAsia="仿宋_GB2312" w:cs="Times New Roman"/>
          <w:color w:val="231F20"/>
          <w:kern w:val="0"/>
          <w:sz w:val="32"/>
          <w:szCs w:val="32"/>
          <w:lang w:bidi="ar"/>
        </w:rPr>
        <w:t>2</w:t>
      </w:r>
      <w:r>
        <w:rPr>
          <w:rFonts w:hint="eastAsia" w:ascii="Times New Roman" w:hAnsi="Times New Roman" w:eastAsia="仿宋_GB2312" w:cs="Times New Roman"/>
          <w:color w:val="231F20"/>
          <w:kern w:val="0"/>
          <w:sz w:val="32"/>
          <w:szCs w:val="32"/>
          <w:lang w:bidi="ar"/>
        </w:rPr>
        <w:t>.</w:t>
      </w:r>
      <w:r>
        <w:rPr>
          <w:rFonts w:ascii="Times New Roman" w:hAnsi="Times New Roman" w:eastAsia="仿宋_GB2312" w:cs="Times New Roman"/>
          <w:color w:val="231F20"/>
          <w:kern w:val="0"/>
          <w:sz w:val="32"/>
          <w:szCs w:val="32"/>
          <w:lang w:bidi="ar"/>
        </w:rPr>
        <w:t>5锂电池</w:t>
      </w:r>
      <w:r>
        <w:rPr>
          <w:rFonts w:hint="eastAsia" w:ascii="Times New Roman" w:hAnsi="Times New Roman" w:eastAsia="仿宋_GB2312" w:cs="Times New Roman"/>
          <w:color w:val="231F20"/>
          <w:kern w:val="0"/>
          <w:sz w:val="32"/>
          <w:szCs w:val="32"/>
          <w:lang w:bidi="ar"/>
        </w:rPr>
        <w:t>产品</w:t>
      </w:r>
      <w:r>
        <w:rPr>
          <w:rFonts w:ascii="Times New Roman" w:hAnsi="Times New Roman" w:eastAsia="仿宋_GB2312" w:cs="Times New Roman"/>
          <w:color w:val="231F20"/>
          <w:kern w:val="0"/>
          <w:sz w:val="32"/>
          <w:szCs w:val="32"/>
          <w:lang w:bidi="ar"/>
        </w:rPr>
        <w:t>在装箱时，每个包件都应经过检查，保证无腐蚀、无污染或其它损坏，标记标注完整，堆码合理，符合积载要求，采取妥当的绑扎、系固、衬垫等安全措施。</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w:t>
      </w:r>
      <w:r>
        <w:rPr>
          <w:rFonts w:ascii="Times New Roman" w:hAnsi="Times New Roman" w:eastAsia="仿宋_GB2312" w:cs="Times New Roman"/>
          <w:color w:val="231F20"/>
          <w:kern w:val="0"/>
          <w:sz w:val="32"/>
          <w:szCs w:val="32"/>
          <w:lang w:bidi="ar"/>
        </w:rPr>
        <w:t>2</w:t>
      </w:r>
      <w:r>
        <w:rPr>
          <w:rFonts w:hint="eastAsia" w:ascii="Times New Roman" w:hAnsi="Times New Roman" w:eastAsia="宋体" w:cs="Times New Roman"/>
          <w:color w:val="231F20"/>
          <w:kern w:val="0"/>
          <w:sz w:val="32"/>
          <w:szCs w:val="32"/>
          <w:lang w:bidi="ar"/>
        </w:rPr>
        <w:t>.</w:t>
      </w:r>
      <w:r>
        <w:rPr>
          <w:rFonts w:ascii="Times New Roman" w:hAnsi="Times New Roman" w:eastAsia="仿宋_GB2312" w:cs="Times New Roman"/>
          <w:color w:val="231F20"/>
          <w:kern w:val="0"/>
          <w:sz w:val="32"/>
          <w:szCs w:val="32"/>
          <w:lang w:bidi="ar"/>
        </w:rPr>
        <w:t>6装入箱内的锂电池货物在箱内应均匀分布，半个箱长范围内的货重不应超过箱内总货重的60％。</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w:t>
      </w:r>
      <w:r>
        <w:rPr>
          <w:rFonts w:ascii="Times New Roman" w:hAnsi="Times New Roman" w:eastAsia="仿宋_GB2312" w:cs="Times New Roman"/>
          <w:color w:val="231F20"/>
          <w:kern w:val="0"/>
          <w:sz w:val="32"/>
          <w:szCs w:val="32"/>
          <w:lang w:bidi="ar"/>
        </w:rPr>
        <w:t>2</w:t>
      </w:r>
      <w:r>
        <w:rPr>
          <w:rFonts w:hint="eastAsia" w:ascii="Times New Roman" w:hAnsi="Times New Roman" w:eastAsia="宋体" w:cs="Times New Roman"/>
          <w:color w:val="231F20"/>
          <w:kern w:val="0"/>
          <w:sz w:val="32"/>
          <w:szCs w:val="32"/>
          <w:lang w:bidi="ar"/>
        </w:rPr>
        <w:t>.</w:t>
      </w:r>
      <w:r>
        <w:rPr>
          <w:rFonts w:ascii="Times New Roman" w:hAnsi="Times New Roman" w:eastAsia="仿宋_GB2312" w:cs="Times New Roman"/>
          <w:color w:val="231F20"/>
          <w:kern w:val="0"/>
          <w:sz w:val="32"/>
          <w:szCs w:val="32"/>
          <w:lang w:bidi="ar"/>
        </w:rPr>
        <w:t>7对适用UN3480的大型锂电池储能柜须根据拟装入箱内的件数和每件重量进行合理分布，尽可能保证箱内货物重量分布合理。</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w:t>
      </w:r>
      <w:r>
        <w:rPr>
          <w:rFonts w:ascii="Times New Roman" w:hAnsi="Times New Roman" w:eastAsia="仿宋_GB2312" w:cs="Times New Roman"/>
          <w:color w:val="231F20"/>
          <w:kern w:val="0"/>
          <w:sz w:val="32"/>
          <w:szCs w:val="32"/>
          <w:lang w:bidi="ar"/>
        </w:rPr>
        <w:t>2</w:t>
      </w:r>
      <w:r>
        <w:rPr>
          <w:rFonts w:hint="eastAsia" w:ascii="Times New Roman" w:hAnsi="Times New Roman" w:eastAsia="宋体" w:cs="Times New Roman"/>
          <w:color w:val="231F20"/>
          <w:kern w:val="0"/>
          <w:sz w:val="32"/>
          <w:szCs w:val="32"/>
          <w:lang w:bidi="ar"/>
        </w:rPr>
        <w:t>.</w:t>
      </w:r>
      <w:r>
        <w:rPr>
          <w:rFonts w:ascii="Times New Roman" w:hAnsi="Times New Roman" w:eastAsia="仿宋_GB2312" w:cs="Times New Roman"/>
          <w:color w:val="231F20"/>
          <w:kern w:val="0"/>
          <w:sz w:val="32"/>
          <w:szCs w:val="32"/>
          <w:lang w:bidi="ar"/>
        </w:rPr>
        <w:t>8如因保证产品外观质量需要而在产品外面加盖防护罩的，需要在防护罩的外表面同时显示符合规则要求的标志或标牌。</w:t>
      </w:r>
    </w:p>
    <w:p>
      <w:pPr>
        <w:widowControl/>
        <w:spacing w:line="560" w:lineRule="exact"/>
        <w:ind w:firstLine="640" w:firstLineChars="200"/>
        <w:rPr>
          <w:rFonts w:ascii="Times New Roman" w:hAnsi="Times New Roman"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w:t>
      </w:r>
      <w:r>
        <w:rPr>
          <w:rFonts w:ascii="Times New Roman" w:hAnsi="Times New Roman" w:eastAsia="仿宋_GB2312" w:cs="Times New Roman"/>
          <w:color w:val="231F20"/>
          <w:kern w:val="0"/>
          <w:sz w:val="32"/>
          <w:szCs w:val="32"/>
          <w:lang w:bidi="ar"/>
        </w:rPr>
        <w:t>2</w:t>
      </w:r>
      <w:r>
        <w:rPr>
          <w:rFonts w:hint="eastAsia" w:ascii="Times New Roman" w:hAnsi="Times New Roman" w:eastAsia="宋体" w:cs="Times New Roman"/>
          <w:color w:val="231F20"/>
          <w:kern w:val="0"/>
          <w:sz w:val="32"/>
          <w:szCs w:val="32"/>
          <w:lang w:bidi="ar"/>
        </w:rPr>
        <w:t>.</w:t>
      </w:r>
      <w:r>
        <w:rPr>
          <w:rFonts w:ascii="Times New Roman" w:hAnsi="Times New Roman" w:eastAsia="仿宋_GB2312" w:cs="Times New Roman"/>
          <w:color w:val="231F20"/>
          <w:kern w:val="0"/>
          <w:sz w:val="32"/>
          <w:szCs w:val="32"/>
          <w:lang w:bidi="ar"/>
        </w:rPr>
        <w:t>9锂电池的装载重量不应超过货物运输组件的最大营运总质量。</w:t>
      </w:r>
    </w:p>
    <w:p>
      <w:pPr>
        <w:spacing w:line="560" w:lineRule="exact"/>
        <w:ind w:firstLine="643" w:firstLineChars="200"/>
        <w:rPr>
          <w:rFonts w:ascii="Times New Roman" w:hAnsi="Times New Roman" w:eastAsia="楷体_GB2312" w:cs="Times New Roman"/>
          <w:b/>
          <w:bCs/>
          <w:color w:val="231F20"/>
          <w:kern w:val="0"/>
          <w:sz w:val="32"/>
          <w:szCs w:val="32"/>
          <w:lang w:bidi="ar"/>
        </w:rPr>
      </w:pPr>
      <w:r>
        <w:rPr>
          <w:rFonts w:hint="eastAsia" w:ascii="Times New Roman" w:hAnsi="Times New Roman" w:eastAsia="楷体_GB2312" w:cs="Times New Roman"/>
          <w:b/>
          <w:bCs/>
          <w:color w:val="231F20"/>
          <w:kern w:val="0"/>
          <w:sz w:val="32"/>
          <w:szCs w:val="32"/>
          <w:lang w:bidi="ar"/>
        </w:rPr>
        <w:t>3.3</w:t>
      </w:r>
      <w:r>
        <w:rPr>
          <w:rFonts w:ascii="Times New Roman" w:hAnsi="Times New Roman" w:eastAsia="楷体_GB2312" w:cs="Times New Roman"/>
          <w:b/>
          <w:bCs/>
          <w:color w:val="231F20"/>
          <w:kern w:val="0"/>
          <w:sz w:val="32"/>
          <w:szCs w:val="32"/>
          <w:lang w:bidi="ar"/>
        </w:rPr>
        <w:t>锂电池</w:t>
      </w:r>
      <w:r>
        <w:rPr>
          <w:rFonts w:hint="eastAsia" w:ascii="Times New Roman" w:hAnsi="Times New Roman" w:eastAsia="楷体_GB2312" w:cs="Times New Roman"/>
          <w:b/>
          <w:bCs/>
          <w:color w:val="231F20"/>
          <w:kern w:val="0"/>
          <w:sz w:val="32"/>
          <w:szCs w:val="32"/>
          <w:lang w:bidi="ar"/>
        </w:rPr>
        <w:t>产品</w:t>
      </w:r>
      <w:r>
        <w:rPr>
          <w:rFonts w:ascii="Times New Roman" w:hAnsi="Times New Roman" w:eastAsia="楷体_GB2312" w:cs="Times New Roman"/>
          <w:b/>
          <w:bCs/>
          <w:color w:val="231F20"/>
          <w:kern w:val="0"/>
          <w:sz w:val="32"/>
          <w:szCs w:val="32"/>
          <w:lang w:bidi="ar"/>
        </w:rPr>
        <w:t>申报</w:t>
      </w:r>
      <w:r>
        <w:rPr>
          <w:rFonts w:hint="eastAsia" w:ascii="Times New Roman" w:hAnsi="Times New Roman" w:eastAsia="楷体_GB2312" w:cs="Times New Roman"/>
          <w:b/>
          <w:bCs/>
          <w:color w:val="231F20"/>
          <w:kern w:val="0"/>
          <w:sz w:val="32"/>
          <w:szCs w:val="32"/>
          <w:lang w:bidi="ar"/>
        </w:rPr>
        <w:t>环节</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根据《海事政务服务指南》（2024）的要求，拟交付船舶载运的锂电池产品</w:t>
      </w:r>
      <w:r>
        <w:rPr>
          <w:rFonts w:hint="eastAsia" w:ascii="Times New Roman" w:hAnsi="Times New Roman" w:eastAsia="仿宋_GB2312" w:cs="Times New Roman"/>
          <w:color w:val="231F20"/>
          <w:kern w:val="0"/>
          <w:sz w:val="32"/>
          <w:szCs w:val="32"/>
          <w:lang w:bidi="ar"/>
        </w:rPr>
        <w:t>，</w:t>
      </w:r>
      <w:r>
        <w:rPr>
          <w:rFonts w:ascii="Times New Roman" w:hAnsi="Times New Roman" w:eastAsia="仿宋_GB2312" w:cs="Times New Roman"/>
          <w:color w:val="231F20"/>
          <w:kern w:val="0"/>
          <w:sz w:val="32"/>
          <w:szCs w:val="32"/>
          <w:lang w:bidi="ar"/>
        </w:rPr>
        <w:t>托运人应向</w:t>
      </w:r>
      <w:r>
        <w:rPr>
          <w:rFonts w:hint="eastAsia" w:ascii="Times New Roman" w:hAnsi="Times New Roman" w:eastAsia="仿宋_GB2312" w:cs="Times New Roman"/>
          <w:color w:val="231F20"/>
          <w:kern w:val="0"/>
          <w:sz w:val="32"/>
          <w:szCs w:val="32"/>
          <w:lang w:bidi="ar"/>
        </w:rPr>
        <w:t>海事</w:t>
      </w:r>
      <w:r>
        <w:rPr>
          <w:rFonts w:ascii="Times New Roman" w:hAnsi="Times New Roman" w:eastAsia="仿宋_GB2312" w:cs="Times New Roman"/>
          <w:color w:val="231F20"/>
          <w:kern w:val="0"/>
          <w:sz w:val="32"/>
          <w:szCs w:val="32"/>
          <w:lang w:bidi="ar"/>
        </w:rPr>
        <w:t>主管部门进行危险货物安全适运报告</w:t>
      </w:r>
      <w:r>
        <w:rPr>
          <w:rFonts w:hint="eastAsia" w:ascii="Times New Roman" w:hAnsi="Times New Roman" w:eastAsia="仿宋_GB2312" w:cs="Times New Roman"/>
          <w:color w:val="231F20"/>
          <w:kern w:val="0"/>
          <w:sz w:val="32"/>
          <w:szCs w:val="32"/>
          <w:lang w:bidi="ar"/>
        </w:rPr>
        <w:t>（简称“货报”）和船舶载运危险货物进出港口许可（简称“船报”）</w:t>
      </w:r>
      <w:r>
        <w:rPr>
          <w:rFonts w:ascii="Times New Roman" w:hAnsi="Times New Roman" w:eastAsia="仿宋_GB2312" w:cs="Times New Roman"/>
          <w:color w:val="231F20"/>
          <w:kern w:val="0"/>
          <w:sz w:val="32"/>
          <w:szCs w:val="32"/>
          <w:lang w:bidi="ar"/>
        </w:rPr>
        <w:t>。</w:t>
      </w:r>
      <w:r>
        <w:rPr>
          <w:rFonts w:hint="eastAsia" w:ascii="Times New Roman" w:hAnsi="Times New Roman" w:eastAsia="仿宋_GB2312" w:cs="Times New Roman"/>
          <w:color w:val="231F20"/>
          <w:kern w:val="0"/>
          <w:sz w:val="32"/>
          <w:szCs w:val="32"/>
          <w:lang w:bidi="ar"/>
        </w:rPr>
        <w:t>按照规定，海事申报要由通过从业资格考核，取得相应从业资格证书的船载危险货物申报人员（简称“申报员”）进行。生产企业若无申报员，可委托专业的申报单位进行海事申报。</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3.3.</w:t>
      </w:r>
      <w:r>
        <w:rPr>
          <w:rFonts w:ascii="Times New Roman" w:hAnsi="Times New Roman" w:eastAsia="仿宋_GB2312" w:cs="Times New Roman"/>
          <w:color w:val="231F20"/>
          <w:kern w:val="0"/>
          <w:sz w:val="32"/>
          <w:szCs w:val="32"/>
          <w:lang w:bidi="ar"/>
        </w:rPr>
        <w:t>1申请途径：中国海事局一网通办平台网上申请（网址：https://zwfw.msa.gov.cn）</w:t>
      </w:r>
    </w:p>
    <w:p>
      <w:pPr>
        <w:widowControl/>
        <w:spacing w:line="560" w:lineRule="exact"/>
        <w:ind w:firstLine="640" w:firstLineChars="200"/>
        <w:rPr>
          <w:rFonts w:hint="eastAsia"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3.3.</w:t>
      </w:r>
      <w:r>
        <w:rPr>
          <w:rFonts w:ascii="Times New Roman" w:hAnsi="Times New Roman" w:eastAsia="仿宋_GB2312" w:cs="Times New Roman"/>
          <w:color w:val="231F20"/>
          <w:kern w:val="0"/>
          <w:sz w:val="32"/>
          <w:szCs w:val="32"/>
          <w:lang w:bidi="ar"/>
        </w:rPr>
        <w:t>2申请主体：托运人或其代理人</w:t>
      </w:r>
      <w:r>
        <w:rPr>
          <w:rFonts w:hint="eastAsia" w:ascii="Times New Roman" w:hAnsi="Times New Roman" w:eastAsia="仿宋_GB2312" w:cs="Times New Roman"/>
          <w:color w:val="231F20"/>
          <w:kern w:val="0"/>
          <w:sz w:val="32"/>
          <w:szCs w:val="32"/>
          <w:lang w:eastAsia="zh-CN" w:bidi="ar"/>
        </w:rPr>
        <w:t>、</w:t>
      </w:r>
      <w:r>
        <w:rPr>
          <w:rFonts w:hint="eastAsia" w:ascii="Times New Roman" w:hAnsi="Times New Roman" w:eastAsia="仿宋_GB2312" w:cs="Times New Roman"/>
          <w:color w:val="231F20"/>
          <w:kern w:val="0"/>
          <w:sz w:val="32"/>
          <w:szCs w:val="32"/>
          <w:lang w:bidi="ar"/>
        </w:rPr>
        <w:t>承运人或其代理人</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3.3.</w:t>
      </w:r>
      <w:r>
        <w:rPr>
          <w:rFonts w:ascii="Times New Roman" w:hAnsi="Times New Roman" w:eastAsia="仿宋_GB2312" w:cs="Times New Roman"/>
          <w:color w:val="231F20"/>
          <w:kern w:val="0"/>
          <w:sz w:val="32"/>
          <w:szCs w:val="32"/>
          <w:lang w:bidi="ar"/>
        </w:rPr>
        <w:t>3</w:t>
      </w:r>
      <w:r>
        <w:rPr>
          <w:rFonts w:hint="eastAsia" w:ascii="Times New Roman" w:hAnsi="Times New Roman" w:eastAsia="仿宋_GB2312" w:cs="Times New Roman"/>
          <w:color w:val="231F20"/>
          <w:kern w:val="0"/>
          <w:sz w:val="32"/>
          <w:szCs w:val="32"/>
          <w:lang w:bidi="ar"/>
        </w:rPr>
        <w:t>货报</w:t>
      </w:r>
      <w:r>
        <w:rPr>
          <w:rFonts w:ascii="Times New Roman" w:hAnsi="Times New Roman" w:eastAsia="仿宋_GB2312" w:cs="Times New Roman"/>
          <w:color w:val="231F20"/>
          <w:kern w:val="0"/>
          <w:sz w:val="32"/>
          <w:szCs w:val="32"/>
          <w:lang w:bidi="ar"/>
        </w:rPr>
        <w:t>申请材料：</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（1）申请人的身份证明及其复印件；</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（2）危险货物安全适运声明书；</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（3）危险货物安全技术说明书</w:t>
      </w:r>
      <w:r>
        <w:rPr>
          <w:rFonts w:hint="eastAsia" w:ascii="Times New Roman" w:hAnsi="Times New Roman" w:eastAsia="仿宋_GB2312" w:cs="Times New Roman"/>
          <w:color w:val="231F20"/>
          <w:kern w:val="0"/>
          <w:sz w:val="32"/>
          <w:szCs w:val="32"/>
          <w:lang w:bidi="ar"/>
        </w:rPr>
        <w:t>（MSDS）</w:t>
      </w:r>
      <w:r>
        <w:rPr>
          <w:rFonts w:ascii="Times New Roman" w:hAnsi="Times New Roman" w:eastAsia="仿宋_GB2312" w:cs="Times New Roman"/>
          <w:color w:val="231F20"/>
          <w:kern w:val="0"/>
          <w:sz w:val="32"/>
          <w:szCs w:val="32"/>
          <w:lang w:bidi="ar"/>
        </w:rPr>
        <w:t>；</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（4）危险货物运输条件鉴定材料（适用时）；</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（5）包装、货物运输组件检验合格证明书（适用时）；</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（6）集装箱装箱证明书；</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（7）委托材料（委托时）。</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3.3.4 船报申请材料：</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（1）船舶载运危险货物申报单；</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（2）船舶适装证书或证明文件；</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（3）拟靠泊或者进行危险货物装卸作业的港口、码头、泊位，具备相应作业经营资质的证明材料及其复印件；</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（4）定期申报还应提交定期申报申请、证明在固定航线上运输固定危险货物的有关资料（适用时）；</w:t>
      </w:r>
    </w:p>
    <w:p>
      <w:pPr>
        <w:widowControl/>
        <w:spacing w:line="560" w:lineRule="exact"/>
        <w:ind w:firstLine="640" w:firstLineChars="200"/>
        <w:rPr>
          <w:rFonts w:hint="eastAsia"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（5）</w:t>
      </w:r>
      <w:r>
        <w:rPr>
          <w:rFonts w:ascii="Times New Roman" w:hAnsi="Times New Roman" w:eastAsia="仿宋_GB2312" w:cs="Times New Roman"/>
          <w:color w:val="231F20"/>
          <w:kern w:val="0"/>
          <w:sz w:val="32"/>
          <w:szCs w:val="32"/>
          <w:lang w:bidi="ar"/>
        </w:rPr>
        <w:t>委托材料（委托时）。</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3.3.5</w:t>
      </w:r>
      <w:r>
        <w:rPr>
          <w:rFonts w:ascii="Times New Roman" w:hAnsi="Times New Roman" w:eastAsia="仿宋_GB2312" w:cs="Times New Roman"/>
          <w:color w:val="231F20"/>
          <w:kern w:val="0"/>
          <w:sz w:val="32"/>
          <w:szCs w:val="32"/>
          <w:lang w:bidi="ar"/>
        </w:rPr>
        <w:t>注意事项</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对于总重在12kg或以上的电池单体或电池组以及无外包装的大型锂电设备，需确保锂电设备外壳足够坚固、耐碰撞</w:t>
      </w:r>
      <w:r>
        <w:rPr>
          <w:rFonts w:ascii="Times New Roman" w:hAnsi="Times New Roman" w:eastAsia="仿宋_GB2312" w:cs="Times New Roman"/>
          <w:color w:val="231F20"/>
          <w:kern w:val="0"/>
          <w:sz w:val="32"/>
          <w:szCs w:val="32"/>
          <w:lang w:bidi="ar"/>
        </w:rPr>
        <w:t>。</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3.3.6便民举措</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根据《浙江海事局关于优化服务保障“新三样”货物水上运输安全便捷高效工作举措的通知》，锂电池产品可以享受以下便民服务举措：</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（1）开通政务服务热线，为企业提供“点对点”咨询和知道；开设绿色通道，实施“首问负责、一次告知、限时办结、延时服务”海事政务服务。</w:t>
      </w:r>
    </w:p>
    <w:p>
      <w:pPr>
        <w:spacing w:line="560" w:lineRule="exact"/>
        <w:ind w:firstLine="640" w:firstLineChars="200"/>
        <w:rPr>
          <w:rFonts w:ascii="Times New Roman" w:hAnsi="Times New Roman" w:eastAsia="仿宋_GB2312" w:cs="Times New Roman"/>
          <w:color w:val="231F20"/>
          <w:kern w:val="0"/>
          <w:sz w:val="32"/>
          <w:szCs w:val="32"/>
          <w:lang w:bidi="ar"/>
        </w:rPr>
      </w:pPr>
      <w:bookmarkStart w:id="2" w:name="_Hlk176446735"/>
      <w:r>
        <w:rPr>
          <w:rFonts w:hint="eastAsia" w:ascii="Times New Roman" w:hAnsi="Times New Roman" w:eastAsia="仿宋_GB2312" w:cs="Times New Roman"/>
          <w:color w:val="231F20"/>
          <w:kern w:val="0"/>
          <w:sz w:val="32"/>
          <w:szCs w:val="32"/>
          <w:lang w:bidi="ar"/>
        </w:rPr>
        <w:t>（2）精简申报材料。海事货报环节，不再要求托运人提交UN38.3试验摘要和报告，托运人只需提交承运人即可。对于“同一厂家、同一货主、同一型号”的锂电池产品，不再要求托运人重复提交货物安全技术说明书。船报环节，不再要求船舶提交危险货物舱单或者积载图。在与港口行政管理部门信息共享和协同联动基础上，载运锂电池产品免于提交码头危险货物作业附征。</w:t>
      </w:r>
    </w:p>
    <w:p>
      <w:pPr>
        <w:spacing w:line="560" w:lineRule="exact"/>
        <w:ind w:firstLine="640" w:firstLineChars="200"/>
        <w:rPr>
          <w:rFonts w:hint="eastAsia"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（3）探索推进锂电池产品水水中转危货申报“一单制”，在启运港托运人已办理货报的，在中转港只需办理船报，不再要求托运人办理货报。</w:t>
      </w:r>
    </w:p>
    <w:p>
      <w:pPr>
        <w:spacing w:line="560" w:lineRule="exact"/>
        <w:ind w:firstLine="643" w:firstLineChars="200"/>
        <w:rPr>
          <w:rFonts w:ascii="Times New Roman" w:hAnsi="Times New Roman" w:eastAsia="黑体" w:cs="Times New Roman"/>
          <w:b/>
          <w:bCs/>
          <w:sz w:val="32"/>
          <w:szCs w:val="32"/>
        </w:rPr>
      </w:pPr>
      <w:r>
        <w:rPr>
          <w:rFonts w:hint="eastAsia" w:ascii="Times New Roman" w:hAnsi="Times New Roman" w:eastAsia="楷体_GB2312" w:cs="Times New Roman"/>
          <w:b/>
          <w:bCs/>
          <w:color w:val="231F20"/>
          <w:kern w:val="0"/>
          <w:sz w:val="32"/>
          <w:szCs w:val="32"/>
          <w:lang w:bidi="ar"/>
        </w:rPr>
        <w:t>3.4</w:t>
      </w:r>
      <w:r>
        <w:rPr>
          <w:rFonts w:ascii="Times New Roman" w:hAnsi="Times New Roman" w:eastAsia="楷体_GB2312" w:cs="Times New Roman"/>
          <w:b/>
          <w:bCs/>
          <w:color w:val="231F20"/>
          <w:kern w:val="0"/>
          <w:sz w:val="32"/>
          <w:szCs w:val="32"/>
          <w:lang w:bidi="ar"/>
        </w:rPr>
        <w:t>船舶载运及装卸</w:t>
      </w:r>
      <w:r>
        <w:rPr>
          <w:rFonts w:hint="eastAsia" w:ascii="Times New Roman" w:hAnsi="Times New Roman" w:eastAsia="楷体_GB2312" w:cs="Times New Roman"/>
          <w:b/>
          <w:bCs/>
          <w:color w:val="231F20"/>
          <w:kern w:val="0"/>
          <w:sz w:val="32"/>
          <w:szCs w:val="32"/>
          <w:lang w:bidi="ar"/>
        </w:rPr>
        <w:t>环节</w:t>
      </w:r>
      <w:bookmarkEnd w:id="2"/>
    </w:p>
    <w:p>
      <w:pPr>
        <w:widowControl/>
        <w:spacing w:line="560" w:lineRule="exact"/>
        <w:ind w:firstLine="640" w:firstLineChars="200"/>
        <w:rPr>
          <w:rFonts w:ascii="Times New Roman" w:hAnsi="Times New Roman" w:eastAsia="楷体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3.4.</w:t>
      </w:r>
      <w:r>
        <w:rPr>
          <w:rFonts w:ascii="Times New Roman" w:hAnsi="Times New Roman" w:eastAsia="仿宋_GB2312" w:cs="Times New Roman"/>
          <w:color w:val="231F20"/>
          <w:kern w:val="0"/>
          <w:sz w:val="32"/>
          <w:szCs w:val="32"/>
          <w:lang w:bidi="ar"/>
        </w:rPr>
        <w:t>1</w:t>
      </w:r>
      <w:r>
        <w:rPr>
          <w:rFonts w:ascii="Times New Roman" w:hAnsi="Times New Roman" w:eastAsia="楷体_GB2312" w:cs="Times New Roman"/>
          <w:color w:val="231F20"/>
          <w:kern w:val="0"/>
          <w:sz w:val="32"/>
          <w:szCs w:val="32"/>
          <w:lang w:bidi="ar"/>
        </w:rPr>
        <w:t>船舶</w:t>
      </w:r>
      <w:r>
        <w:rPr>
          <w:rFonts w:hint="eastAsia" w:ascii="Times New Roman" w:hAnsi="Times New Roman" w:eastAsia="楷体_GB2312" w:cs="Times New Roman"/>
          <w:color w:val="231F20"/>
          <w:kern w:val="0"/>
          <w:sz w:val="32"/>
          <w:szCs w:val="32"/>
          <w:lang w:bidi="ar"/>
        </w:rPr>
        <w:t>适装</w:t>
      </w:r>
      <w:r>
        <w:rPr>
          <w:rFonts w:ascii="Times New Roman" w:hAnsi="Times New Roman" w:eastAsia="楷体_GB2312" w:cs="Times New Roman"/>
          <w:color w:val="231F20"/>
          <w:kern w:val="0"/>
          <w:sz w:val="32"/>
          <w:szCs w:val="32"/>
          <w:lang w:bidi="ar"/>
        </w:rPr>
        <w:t>要求</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（1）</w:t>
      </w:r>
      <w:r>
        <w:rPr>
          <w:rFonts w:ascii="Times New Roman" w:hAnsi="Times New Roman" w:eastAsia="仿宋_GB2312" w:cs="Times New Roman"/>
          <w:color w:val="231F20"/>
          <w:kern w:val="0"/>
          <w:sz w:val="32"/>
          <w:szCs w:val="32"/>
          <w:lang w:bidi="ar"/>
        </w:rPr>
        <w:t>载运锂电池货物的船舶应持有：《海上船舶危险货物适装证书》或《船舶载运危险货物符合证明（DOC</w:t>
      </w:r>
      <w:r>
        <w:rPr>
          <w:rFonts w:hint="eastAsia" w:ascii="Times New Roman" w:hAnsi="Times New Roman" w:eastAsia="仿宋_GB2312" w:cs="Times New Roman"/>
          <w:color w:val="231F20"/>
          <w:kern w:val="0"/>
          <w:sz w:val="32"/>
          <w:szCs w:val="32"/>
          <w:lang w:bidi="ar"/>
        </w:rPr>
        <w:t xml:space="preserve"> </w:t>
      </w:r>
      <w:r>
        <w:rPr>
          <w:rFonts w:ascii="Times New Roman" w:hAnsi="Times New Roman" w:eastAsia="仿宋_GB2312" w:cs="Times New Roman"/>
          <w:color w:val="231F20"/>
          <w:kern w:val="0"/>
          <w:sz w:val="32"/>
          <w:szCs w:val="32"/>
          <w:lang w:bidi="ar"/>
        </w:rPr>
        <w:t>FOR</w:t>
      </w:r>
      <w:r>
        <w:rPr>
          <w:rFonts w:hint="eastAsia" w:ascii="Times New Roman" w:hAnsi="Times New Roman" w:eastAsia="仿宋_GB2312" w:cs="Times New Roman"/>
          <w:color w:val="231F20"/>
          <w:kern w:val="0"/>
          <w:sz w:val="32"/>
          <w:szCs w:val="32"/>
          <w:lang w:bidi="ar"/>
        </w:rPr>
        <w:t xml:space="preserve"> </w:t>
      </w:r>
      <w:r>
        <w:rPr>
          <w:rFonts w:ascii="Times New Roman" w:hAnsi="Times New Roman" w:eastAsia="仿宋_GB2312" w:cs="Times New Roman"/>
          <w:color w:val="231F20"/>
          <w:kern w:val="0"/>
          <w:sz w:val="32"/>
          <w:szCs w:val="32"/>
          <w:lang w:bidi="ar"/>
        </w:rPr>
        <w:t>DG）》</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（2）</w:t>
      </w:r>
      <w:r>
        <w:rPr>
          <w:rFonts w:ascii="Times New Roman" w:hAnsi="Times New Roman" w:eastAsia="仿宋_GB2312" w:cs="Times New Roman"/>
          <w:color w:val="231F20"/>
          <w:kern w:val="0"/>
          <w:sz w:val="32"/>
          <w:szCs w:val="32"/>
          <w:lang w:bidi="ar"/>
        </w:rPr>
        <w:t>《海上船舶危险货物适装证书》或《船舶载运危险货物符合证明（DOC</w:t>
      </w:r>
      <w:r>
        <w:rPr>
          <w:rFonts w:hint="eastAsia" w:ascii="Times New Roman" w:hAnsi="Times New Roman" w:eastAsia="仿宋_GB2312" w:cs="Times New Roman"/>
          <w:color w:val="231F20"/>
          <w:kern w:val="0"/>
          <w:sz w:val="32"/>
          <w:szCs w:val="32"/>
          <w:lang w:bidi="ar"/>
        </w:rPr>
        <w:t xml:space="preserve"> </w:t>
      </w:r>
      <w:r>
        <w:rPr>
          <w:rFonts w:ascii="Times New Roman" w:hAnsi="Times New Roman" w:eastAsia="仿宋_GB2312" w:cs="Times New Roman"/>
          <w:color w:val="231F20"/>
          <w:kern w:val="0"/>
          <w:sz w:val="32"/>
          <w:szCs w:val="32"/>
          <w:lang w:bidi="ar"/>
        </w:rPr>
        <w:t>FOR</w:t>
      </w:r>
      <w:r>
        <w:rPr>
          <w:rFonts w:hint="eastAsia" w:ascii="Times New Roman" w:hAnsi="Times New Roman" w:eastAsia="仿宋_GB2312" w:cs="Times New Roman"/>
          <w:color w:val="231F20"/>
          <w:kern w:val="0"/>
          <w:sz w:val="32"/>
          <w:szCs w:val="32"/>
          <w:lang w:bidi="ar"/>
        </w:rPr>
        <w:t xml:space="preserve"> </w:t>
      </w:r>
      <w:r>
        <w:rPr>
          <w:rFonts w:ascii="Times New Roman" w:hAnsi="Times New Roman" w:eastAsia="仿宋_GB2312" w:cs="Times New Roman"/>
          <w:color w:val="231F20"/>
          <w:kern w:val="0"/>
          <w:sz w:val="32"/>
          <w:szCs w:val="32"/>
          <w:lang w:bidi="ar"/>
        </w:rPr>
        <w:t>DG）》允许积载第9类危险货物。</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w:t>
      </w:r>
      <w:r>
        <w:rPr>
          <w:rFonts w:ascii="Times New Roman" w:hAnsi="Times New Roman" w:eastAsia="仿宋_GB2312" w:cs="Times New Roman"/>
          <w:color w:val="231F20"/>
          <w:kern w:val="0"/>
          <w:sz w:val="32"/>
          <w:szCs w:val="32"/>
          <w:lang w:bidi="ar"/>
        </w:rPr>
        <w:t>船舶应配备足够消防喷淋系统等消防设备和人员防护设备，增加船载锂电池货物事故应急演练频次，提升应急处置能力和水平。</w:t>
      </w:r>
    </w:p>
    <w:p>
      <w:pPr>
        <w:widowControl/>
        <w:spacing w:line="560" w:lineRule="exact"/>
        <w:ind w:firstLine="640" w:firstLineChars="200"/>
        <w:rPr>
          <w:rFonts w:ascii="Times New Roman" w:hAnsi="Times New Roman" w:eastAsia="楷体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3.4.2</w:t>
      </w:r>
      <w:r>
        <w:rPr>
          <w:rFonts w:ascii="Times New Roman" w:hAnsi="Times New Roman" w:eastAsia="楷体_GB2312" w:cs="Times New Roman"/>
          <w:color w:val="231F20"/>
          <w:kern w:val="0"/>
          <w:sz w:val="32"/>
          <w:szCs w:val="32"/>
          <w:lang w:bidi="ar"/>
        </w:rPr>
        <w:t>积载要求</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（1）</w:t>
      </w:r>
      <w:r>
        <w:rPr>
          <w:rFonts w:ascii="Times New Roman" w:hAnsi="Times New Roman" w:eastAsia="仿宋_GB2312" w:cs="Times New Roman"/>
          <w:color w:val="231F20"/>
          <w:kern w:val="0"/>
          <w:sz w:val="32"/>
          <w:szCs w:val="32"/>
          <w:lang w:bidi="ar"/>
        </w:rPr>
        <w:t>锂电池产品的积载类为A（即可在船舶舱面或舱内积载）。但除非是短程的国际运输，按照特殊规定376（损坏或有缺陷的锂离子、锂金属电池和电池组）或377（用于处置和回收目的运输的锂离子、锂金属电池和电池组）运输的电池组的积载代码为SW19，规定的积载类为C（仅限舱面积载）。</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（2）</w:t>
      </w:r>
      <w:r>
        <w:rPr>
          <w:rFonts w:ascii="Times New Roman" w:hAnsi="Times New Roman" w:eastAsia="仿宋_GB2312" w:cs="Times New Roman"/>
          <w:color w:val="231F20"/>
          <w:kern w:val="0"/>
          <w:sz w:val="32"/>
          <w:szCs w:val="32"/>
          <w:lang w:bidi="ar"/>
        </w:rPr>
        <w:t>建议锂电池货物在船上积载时远离热源和机器处所、避开生活居住处所（3m以上）。</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w:t>
      </w:r>
      <w:r>
        <w:rPr>
          <w:rFonts w:ascii="Times New Roman" w:hAnsi="Times New Roman" w:eastAsia="仿宋_GB2312" w:cs="Times New Roman"/>
          <w:color w:val="231F20"/>
          <w:kern w:val="0"/>
          <w:sz w:val="32"/>
          <w:szCs w:val="32"/>
          <w:lang w:bidi="ar"/>
        </w:rPr>
        <w:t>建议锂电池货物在舱内积载时，选择装有测温探头的货舱，并对舱内的温度、湿度进行实时监测。</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（4）</w:t>
      </w:r>
      <w:r>
        <w:rPr>
          <w:rFonts w:ascii="Times New Roman" w:hAnsi="Times New Roman" w:eastAsia="仿宋_GB2312" w:cs="Times New Roman"/>
          <w:color w:val="231F20"/>
          <w:kern w:val="0"/>
          <w:sz w:val="32"/>
          <w:szCs w:val="32"/>
          <w:lang w:bidi="ar"/>
        </w:rPr>
        <w:t>应积载于消防系统覆盖区域。</w:t>
      </w:r>
    </w:p>
    <w:p>
      <w:pPr>
        <w:widowControl/>
        <w:spacing w:line="560" w:lineRule="exact"/>
        <w:ind w:firstLine="640" w:firstLineChars="200"/>
        <w:rPr>
          <w:rFonts w:ascii="Times New Roman" w:hAnsi="Times New Roman" w:eastAsia="楷体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3.4.3</w:t>
      </w:r>
      <w:r>
        <w:rPr>
          <w:rFonts w:ascii="Times New Roman" w:hAnsi="Times New Roman" w:eastAsia="楷体_GB2312" w:cs="Times New Roman"/>
          <w:color w:val="231F20"/>
          <w:kern w:val="0"/>
          <w:sz w:val="32"/>
          <w:szCs w:val="32"/>
          <w:lang w:bidi="ar"/>
        </w:rPr>
        <w:t>隔离要求</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尽管船舶载运锂电池货物没有隔离要求，但考虑到锂电池起火的特点和灭火的困难，建议锂电池与第1类爆炸品（1.4S项除外）、第2.1项易燃气体、第3类易燃液体、第4类易燃固体、易于自燃的物质、遇水放出易燃气体的物质、第5.1项氧化性物质、第5.2项有机过氧化物等具有易燃易爆性质的危险货物组件进行至少一个箱位的隔离，即“隔离”。</w:t>
      </w:r>
    </w:p>
    <w:p>
      <w:pPr>
        <w:widowControl/>
        <w:spacing w:line="560" w:lineRule="exact"/>
        <w:ind w:firstLine="640" w:firstLineChars="200"/>
        <w:rPr>
          <w:rFonts w:ascii="Times New Roman" w:hAnsi="Times New Roman" w:eastAsia="楷体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3.4.4</w:t>
      </w:r>
      <w:r>
        <w:rPr>
          <w:rFonts w:ascii="Times New Roman" w:hAnsi="Times New Roman" w:eastAsia="楷体_GB2312" w:cs="Times New Roman"/>
          <w:color w:val="231F20"/>
          <w:kern w:val="0"/>
          <w:sz w:val="32"/>
          <w:szCs w:val="32"/>
          <w:lang w:bidi="ar"/>
        </w:rPr>
        <w:t>运输要求</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（1）</w:t>
      </w:r>
      <w:r>
        <w:rPr>
          <w:rFonts w:ascii="Times New Roman" w:hAnsi="Times New Roman" w:eastAsia="仿宋_GB2312" w:cs="Times New Roman"/>
          <w:color w:val="231F20"/>
          <w:kern w:val="0"/>
          <w:sz w:val="32"/>
          <w:szCs w:val="32"/>
          <w:lang w:bidi="ar"/>
        </w:rPr>
        <w:t>承运人应对锂电池货物运输组件进行合理积载，合理固定和绑扎，尤其需要重点关注UN3536超重运输组件的固定，必要时，增加额外的绑扎设备或措施，确保固定良好。</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（2）</w:t>
      </w:r>
      <w:r>
        <w:rPr>
          <w:rFonts w:ascii="Times New Roman" w:hAnsi="Times New Roman" w:eastAsia="仿宋_GB2312" w:cs="Times New Roman"/>
          <w:color w:val="231F20"/>
          <w:kern w:val="0"/>
          <w:sz w:val="32"/>
          <w:szCs w:val="32"/>
          <w:lang w:bidi="ar"/>
        </w:rPr>
        <w:t>必要时，承运船舶应对UN3536货物运输组件在航行中气象、海浪、浪向、浪高及UN3536箱体温度等相关状况进行流水记录，积累运输经验，为运输和监管提供参考。</w:t>
      </w:r>
    </w:p>
    <w:p>
      <w:pPr>
        <w:widowControl/>
        <w:spacing w:line="560" w:lineRule="exact"/>
        <w:ind w:firstLine="640" w:firstLineChars="200"/>
        <w:rPr>
          <w:rFonts w:ascii="Times New Roman" w:hAnsi="Times New Roman" w:eastAsia="楷体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3.4.5</w:t>
      </w:r>
      <w:r>
        <w:rPr>
          <w:rFonts w:ascii="Times New Roman" w:hAnsi="Times New Roman" w:eastAsia="楷体_GB2312" w:cs="Times New Roman"/>
          <w:color w:val="231F20"/>
          <w:kern w:val="0"/>
          <w:sz w:val="32"/>
          <w:szCs w:val="32"/>
          <w:lang w:bidi="ar"/>
        </w:rPr>
        <w:t>人员要求</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t>载运锂电池船舶的船员须充分学习锂电池知识，掌握锂电池起火的原理、特点和应急措施，积极参加船舶组织的锂电池危险货物事故应急演练，提升应急操作水平。</w:t>
      </w:r>
    </w:p>
    <w:p>
      <w:pPr>
        <w:widowControl/>
        <w:spacing w:line="560" w:lineRule="exact"/>
        <w:ind w:firstLine="640" w:firstLineChars="200"/>
        <w:rPr>
          <w:rFonts w:ascii="Times New Roman" w:hAnsi="Times New Roman" w:eastAsia="楷体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3.4.6</w:t>
      </w:r>
      <w:r>
        <w:rPr>
          <w:rFonts w:ascii="Times New Roman" w:hAnsi="Times New Roman" w:eastAsia="楷体_GB2312" w:cs="Times New Roman"/>
          <w:color w:val="231F20"/>
          <w:kern w:val="0"/>
          <w:sz w:val="32"/>
          <w:szCs w:val="32"/>
          <w:lang w:bidi="ar"/>
        </w:rPr>
        <w:t>装卸要求</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（1）</w:t>
      </w:r>
      <w:r>
        <w:rPr>
          <w:rFonts w:ascii="Times New Roman" w:hAnsi="Times New Roman" w:eastAsia="仿宋_GB2312" w:cs="Times New Roman"/>
          <w:color w:val="231F20"/>
          <w:kern w:val="0"/>
          <w:sz w:val="32"/>
          <w:szCs w:val="32"/>
          <w:lang w:bidi="ar"/>
        </w:rPr>
        <w:t>锂电池装箱时应根据锂电池的包装性质和包装质量选用装卸机具，机械及其附属器械不应影响包装的完整性。</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（2）</w:t>
      </w:r>
      <w:r>
        <w:rPr>
          <w:rFonts w:ascii="Times New Roman" w:hAnsi="Times New Roman" w:eastAsia="仿宋_GB2312" w:cs="Times New Roman"/>
          <w:color w:val="231F20"/>
          <w:kern w:val="0"/>
          <w:sz w:val="32"/>
          <w:szCs w:val="32"/>
          <w:lang w:bidi="ar"/>
        </w:rPr>
        <w:t>锂电池装箱时，使用叉车装卸搬运货物应采取防护措施，采用安全速度。</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（3）</w:t>
      </w:r>
      <w:r>
        <w:rPr>
          <w:rFonts w:ascii="Times New Roman" w:hAnsi="Times New Roman" w:eastAsia="仿宋_GB2312" w:cs="Times New Roman"/>
          <w:color w:val="231F20"/>
          <w:kern w:val="0"/>
          <w:sz w:val="32"/>
          <w:szCs w:val="32"/>
          <w:lang w:bidi="ar"/>
        </w:rPr>
        <w:t>锂电池装箱时，不应在货物周围吸烟、动火或进行可能产生火花的作业。</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（4）</w:t>
      </w:r>
      <w:r>
        <w:rPr>
          <w:rFonts w:ascii="Times New Roman" w:hAnsi="Times New Roman" w:eastAsia="仿宋_GB2312" w:cs="Times New Roman"/>
          <w:color w:val="231F20"/>
          <w:kern w:val="0"/>
          <w:sz w:val="32"/>
          <w:szCs w:val="32"/>
          <w:lang w:bidi="ar"/>
        </w:rPr>
        <w:t>装载锂电池的集装箱吊装作业时，桥吊小车不应联动抛物线运行，不应在吊具大幅度晃动中靠箱。建议吊具着箱和带箱起升时使用慢速。</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（5）</w:t>
      </w:r>
      <w:r>
        <w:rPr>
          <w:rFonts w:ascii="Times New Roman" w:hAnsi="Times New Roman" w:eastAsia="仿宋_GB2312" w:cs="Times New Roman"/>
          <w:color w:val="231F20"/>
          <w:kern w:val="0"/>
          <w:sz w:val="32"/>
          <w:szCs w:val="32"/>
          <w:lang w:bidi="ar"/>
        </w:rPr>
        <w:t>鉴于UN3536大多处于“超重不超载”的现实情况，因此在吊装作业时要充分考虑码头场地龙门吊和集装箱桥吊的起吊能力，超过吊机最大吊装能力的UN3536不得进行吊卸作业。</w:t>
      </w:r>
    </w:p>
    <w:p>
      <w:pPr>
        <w:widowControl/>
        <w:spacing w:line="560" w:lineRule="exact"/>
        <w:ind w:firstLine="640" w:firstLineChars="200"/>
        <w:rPr>
          <w:rFonts w:ascii="Times New Roman" w:hAnsi="Times New Roman" w:eastAsia="仿宋_GB2312" w:cs="Times New Roman"/>
          <w:color w:val="231F20"/>
          <w:kern w:val="0"/>
          <w:sz w:val="32"/>
          <w:szCs w:val="32"/>
          <w:lang w:bidi="ar"/>
        </w:rPr>
      </w:pPr>
      <w:r>
        <w:rPr>
          <w:rFonts w:hint="eastAsia" w:ascii="Times New Roman" w:hAnsi="Times New Roman" w:eastAsia="仿宋_GB2312" w:cs="Times New Roman"/>
          <w:color w:val="231F20"/>
          <w:kern w:val="0"/>
          <w:sz w:val="32"/>
          <w:szCs w:val="32"/>
          <w:lang w:bidi="ar"/>
        </w:rPr>
        <w:t>（6）</w:t>
      </w:r>
      <w:r>
        <w:rPr>
          <w:rFonts w:ascii="Times New Roman" w:hAnsi="Times New Roman" w:eastAsia="仿宋_GB2312" w:cs="Times New Roman"/>
          <w:color w:val="231F20"/>
          <w:kern w:val="0"/>
          <w:sz w:val="32"/>
          <w:szCs w:val="32"/>
          <w:lang w:bidi="ar"/>
        </w:rPr>
        <w:t>承运人应充分考虑组件超重的实际情况，进行合理的配载和拴固，保证船舶稳性和组件的安全</w:t>
      </w:r>
      <w:r>
        <w:rPr>
          <w:rFonts w:hint="eastAsia" w:ascii="Times New Roman" w:hAnsi="Times New Roman" w:eastAsia="仿宋_GB2312" w:cs="Times New Roman"/>
          <w:color w:val="231F20"/>
          <w:kern w:val="0"/>
          <w:sz w:val="32"/>
          <w:szCs w:val="32"/>
          <w:lang w:bidi="ar"/>
        </w:rPr>
        <w:t>。</w:t>
      </w:r>
    </w:p>
    <w:p>
      <w:pPr>
        <w:widowControl/>
        <w:jc w:val="left"/>
        <w:rPr>
          <w:rFonts w:ascii="Times New Roman" w:hAnsi="Times New Roman" w:eastAsia="仿宋_GB2312" w:cs="Times New Roman"/>
          <w:color w:val="231F20"/>
          <w:kern w:val="0"/>
          <w:sz w:val="32"/>
          <w:szCs w:val="32"/>
          <w:lang w:bidi="ar"/>
        </w:rPr>
      </w:pPr>
      <w:r>
        <w:rPr>
          <w:rFonts w:ascii="Times New Roman" w:hAnsi="Times New Roman" w:eastAsia="仿宋_GB2312" w:cs="Times New Roman"/>
          <w:color w:val="231F20"/>
          <w:kern w:val="0"/>
          <w:sz w:val="32"/>
          <w:szCs w:val="32"/>
          <w:lang w:bidi="ar"/>
        </w:rPr>
        <w:br w:type="page"/>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附件I:</w:t>
      </w:r>
    </w:p>
    <w:p>
      <w:pPr>
        <w:jc w:val="center"/>
        <w:rPr>
          <w:rFonts w:hint="eastAsia" w:ascii="黑体" w:hAnsi="黑体" w:eastAsia="黑体" w:cs="黑体"/>
          <w:sz w:val="32"/>
          <w:szCs w:val="32"/>
        </w:rPr>
      </w:pPr>
      <w:r>
        <w:rPr>
          <w:rFonts w:hint="eastAsia" w:ascii="黑体" w:hAnsi="黑体" w:eastAsia="黑体" w:cs="黑体"/>
          <w:sz w:val="32"/>
          <w:szCs w:val="32"/>
        </w:rPr>
        <w:t>锂电池38.3测试</w:t>
      </w:r>
    </w:p>
    <w:bookmarkEnd w:id="0"/>
    <w:p>
      <w:pPr>
        <w:spacing w:before="65" w:line="228" w:lineRule="auto"/>
        <w:ind w:left="510"/>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锂电池测试项目和结果应符合表1的规定。</w:t>
      </w:r>
    </w:p>
    <w:p>
      <w:pPr>
        <w:spacing w:line="168" w:lineRule="exact"/>
        <w:rPr>
          <w:rFonts w:hint="eastAsia"/>
        </w:rPr>
      </w:pPr>
    </w:p>
    <w:p>
      <w:pPr>
        <w:pStyle w:val="4"/>
        <w:jc w:val="center"/>
        <w:rPr>
          <w:rFonts w:eastAsia="宋体"/>
        </w:rPr>
      </w:pPr>
      <w:r>
        <w:t>表</w:t>
      </w:r>
      <w:r>
        <w:fldChar w:fldCharType="begin"/>
      </w:r>
      <w:r>
        <w:instrText xml:space="preserve"> SEQ 表 \* ARABIC </w:instrText>
      </w:r>
      <w:r>
        <w:fldChar w:fldCharType="separate"/>
      </w:r>
      <w:r>
        <w:t>1</w:t>
      </w:r>
      <w:r>
        <w:fldChar w:fldCharType="end"/>
      </w:r>
      <w:r>
        <w:rPr>
          <w:rFonts w:hint="eastAsia"/>
        </w:rPr>
        <w:t>锂电池测试项目和结果</w:t>
      </w:r>
    </w:p>
    <w:tbl>
      <w:tblPr>
        <w:tblStyle w:val="19"/>
        <w:tblW w:w="9915"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1931"/>
        <w:gridCol w:w="489"/>
        <w:gridCol w:w="489"/>
        <w:gridCol w:w="489"/>
        <w:gridCol w:w="488"/>
        <w:gridCol w:w="489"/>
        <w:gridCol w:w="488"/>
        <w:gridCol w:w="489"/>
        <w:gridCol w:w="424"/>
        <w:gridCol w:w="36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83" w:hRule="atLeast"/>
          <w:jc w:val="center"/>
        </w:trPr>
        <w:tc>
          <w:tcPr>
            <w:tcW w:w="6281" w:type="dxa"/>
            <w:gridSpan w:val="10"/>
          </w:tcPr>
          <w:p>
            <w:pPr>
              <w:spacing w:before="72" w:line="220" w:lineRule="auto"/>
              <w:ind w:left="2818"/>
              <w:rPr>
                <w:rFonts w:hint="eastAsia" w:ascii="宋体" w:hAnsi="宋体" w:eastAsia="宋体" w:cs="宋体"/>
                <w:sz w:val="18"/>
                <w:szCs w:val="18"/>
              </w:rPr>
            </w:pPr>
            <w:r>
              <w:rPr>
                <w:rFonts w:hint="eastAsia" w:ascii="宋体" w:hAnsi="宋体" w:eastAsia="宋体" w:cs="宋体"/>
                <w:spacing w:val="-2"/>
                <w:sz w:val="18"/>
                <w:szCs w:val="18"/>
              </w:rPr>
              <w:t>试验项目</w:t>
            </w:r>
          </w:p>
        </w:tc>
        <w:tc>
          <w:tcPr>
            <w:tcW w:w="3634" w:type="dxa"/>
            <w:vMerge w:val="restart"/>
            <w:tcBorders>
              <w:bottom w:val="nil"/>
            </w:tcBorders>
          </w:tcPr>
          <w:p>
            <w:pPr>
              <w:spacing w:before="233" w:line="220" w:lineRule="auto"/>
              <w:ind w:left="1227"/>
              <w:rPr>
                <w:rFonts w:hint="eastAsia" w:ascii="宋体" w:hAnsi="宋体" w:eastAsia="宋体" w:cs="宋体"/>
                <w:sz w:val="18"/>
                <w:szCs w:val="18"/>
              </w:rPr>
            </w:pPr>
            <w:r>
              <w:rPr>
                <w:rFonts w:hint="eastAsia" w:ascii="宋体" w:hAnsi="宋体" w:eastAsia="宋体" w:cs="宋体"/>
                <w:spacing w:val="-2"/>
                <w:sz w:val="18"/>
                <w:szCs w:val="18"/>
              </w:rPr>
              <w:t>试验结果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77" w:hRule="atLeast"/>
          <w:jc w:val="center"/>
        </w:trPr>
        <w:tc>
          <w:tcPr>
            <w:tcW w:w="2436" w:type="dxa"/>
            <w:gridSpan w:val="2"/>
          </w:tcPr>
          <w:p>
            <w:pPr>
              <w:rPr>
                <w:rFonts w:hint="eastAsia" w:ascii="宋体" w:hAnsi="宋体" w:eastAsia="宋体" w:cs="宋体"/>
                <w:sz w:val="18"/>
                <w:szCs w:val="18"/>
              </w:rPr>
            </w:pPr>
          </w:p>
        </w:tc>
        <w:tc>
          <w:tcPr>
            <w:tcW w:w="489" w:type="dxa"/>
          </w:tcPr>
          <w:p>
            <w:pPr>
              <w:pStyle w:val="20"/>
              <w:spacing w:before="96" w:line="188" w:lineRule="auto"/>
              <w:ind w:left="124"/>
              <w:rPr>
                <w:rFonts w:hint="eastAsia" w:ascii="宋体" w:hAnsi="宋体" w:eastAsia="宋体" w:cs="宋体"/>
              </w:rPr>
            </w:pPr>
            <w:r>
              <w:rPr>
                <w:rFonts w:hint="eastAsia" w:ascii="宋体" w:hAnsi="宋体" w:eastAsia="宋体" w:cs="宋体"/>
                <w:spacing w:val="-3"/>
              </w:rPr>
              <w:t>T.1</w:t>
            </w:r>
          </w:p>
        </w:tc>
        <w:tc>
          <w:tcPr>
            <w:tcW w:w="489" w:type="dxa"/>
          </w:tcPr>
          <w:p>
            <w:pPr>
              <w:pStyle w:val="20"/>
              <w:spacing w:before="96" w:line="188" w:lineRule="auto"/>
              <w:ind w:left="125"/>
              <w:rPr>
                <w:rFonts w:hint="eastAsia" w:ascii="宋体" w:hAnsi="宋体" w:eastAsia="宋体" w:cs="宋体"/>
              </w:rPr>
            </w:pPr>
            <w:r>
              <w:rPr>
                <w:rFonts w:hint="eastAsia" w:ascii="宋体" w:hAnsi="宋体" w:eastAsia="宋体" w:cs="宋体"/>
                <w:spacing w:val="-3"/>
              </w:rPr>
              <w:t>T.2</w:t>
            </w:r>
          </w:p>
        </w:tc>
        <w:tc>
          <w:tcPr>
            <w:tcW w:w="489" w:type="dxa"/>
          </w:tcPr>
          <w:p>
            <w:pPr>
              <w:pStyle w:val="20"/>
              <w:spacing w:before="96" w:line="188" w:lineRule="auto"/>
              <w:ind w:left="123"/>
              <w:rPr>
                <w:rFonts w:hint="eastAsia" w:ascii="宋体" w:hAnsi="宋体" w:eastAsia="宋体" w:cs="宋体"/>
              </w:rPr>
            </w:pPr>
            <w:r>
              <w:rPr>
                <w:rFonts w:hint="eastAsia" w:ascii="宋体" w:hAnsi="宋体" w:eastAsia="宋体" w:cs="宋体"/>
                <w:spacing w:val="-3"/>
              </w:rPr>
              <w:t>T.3</w:t>
            </w:r>
          </w:p>
        </w:tc>
        <w:tc>
          <w:tcPr>
            <w:tcW w:w="488" w:type="dxa"/>
          </w:tcPr>
          <w:p>
            <w:pPr>
              <w:pStyle w:val="20"/>
              <w:spacing w:before="96" w:line="188" w:lineRule="auto"/>
              <w:ind w:left="123"/>
              <w:rPr>
                <w:rFonts w:hint="eastAsia" w:ascii="宋体" w:hAnsi="宋体" w:eastAsia="宋体" w:cs="宋体"/>
              </w:rPr>
            </w:pPr>
            <w:r>
              <w:rPr>
                <w:rFonts w:hint="eastAsia" w:ascii="宋体" w:hAnsi="宋体" w:eastAsia="宋体" w:cs="宋体"/>
                <w:spacing w:val="-3"/>
              </w:rPr>
              <w:t>T.4</w:t>
            </w:r>
          </w:p>
        </w:tc>
        <w:tc>
          <w:tcPr>
            <w:tcW w:w="489" w:type="dxa"/>
          </w:tcPr>
          <w:p>
            <w:pPr>
              <w:pStyle w:val="20"/>
              <w:spacing w:before="99" w:line="185" w:lineRule="auto"/>
              <w:ind w:left="125"/>
              <w:rPr>
                <w:rFonts w:hint="eastAsia" w:ascii="宋体" w:hAnsi="宋体" w:eastAsia="宋体" w:cs="宋体"/>
              </w:rPr>
            </w:pPr>
            <w:r>
              <w:rPr>
                <w:rFonts w:hint="eastAsia" w:ascii="宋体" w:hAnsi="宋体" w:eastAsia="宋体" w:cs="宋体"/>
                <w:spacing w:val="-3"/>
              </w:rPr>
              <w:t>T.5</w:t>
            </w:r>
          </w:p>
        </w:tc>
        <w:tc>
          <w:tcPr>
            <w:tcW w:w="488" w:type="dxa"/>
          </w:tcPr>
          <w:p>
            <w:pPr>
              <w:pStyle w:val="20"/>
              <w:spacing w:before="96" w:line="188" w:lineRule="auto"/>
              <w:ind w:left="125"/>
              <w:rPr>
                <w:rFonts w:hint="eastAsia" w:ascii="宋体" w:hAnsi="宋体" w:eastAsia="宋体" w:cs="宋体"/>
              </w:rPr>
            </w:pPr>
            <w:r>
              <w:rPr>
                <w:rFonts w:hint="eastAsia" w:ascii="宋体" w:hAnsi="宋体" w:eastAsia="宋体" w:cs="宋体"/>
                <w:spacing w:val="-3"/>
              </w:rPr>
              <w:t>T.6</w:t>
            </w:r>
          </w:p>
        </w:tc>
        <w:tc>
          <w:tcPr>
            <w:tcW w:w="489" w:type="dxa"/>
          </w:tcPr>
          <w:p>
            <w:pPr>
              <w:pStyle w:val="20"/>
              <w:spacing w:before="99" w:line="185" w:lineRule="auto"/>
              <w:ind w:left="125"/>
              <w:rPr>
                <w:rFonts w:hint="eastAsia" w:ascii="宋体" w:hAnsi="宋体" w:eastAsia="宋体" w:cs="宋体"/>
              </w:rPr>
            </w:pPr>
            <w:r>
              <w:rPr>
                <w:rFonts w:hint="eastAsia" w:ascii="宋体" w:hAnsi="宋体" w:eastAsia="宋体" w:cs="宋体"/>
                <w:spacing w:val="-3"/>
              </w:rPr>
              <w:t>T.7</w:t>
            </w:r>
          </w:p>
        </w:tc>
        <w:tc>
          <w:tcPr>
            <w:tcW w:w="424" w:type="dxa"/>
          </w:tcPr>
          <w:p>
            <w:pPr>
              <w:pStyle w:val="20"/>
              <w:spacing w:before="96" w:line="188" w:lineRule="auto"/>
              <w:ind w:left="125"/>
              <w:rPr>
                <w:rFonts w:hint="eastAsia" w:ascii="宋体" w:hAnsi="宋体" w:eastAsia="宋体" w:cs="宋体"/>
              </w:rPr>
            </w:pPr>
            <w:r>
              <w:rPr>
                <w:rFonts w:hint="eastAsia" w:ascii="宋体" w:hAnsi="宋体" w:eastAsia="宋体" w:cs="宋体"/>
                <w:spacing w:val="-3"/>
              </w:rPr>
              <w:t>T.8</w:t>
            </w:r>
          </w:p>
        </w:tc>
        <w:tc>
          <w:tcPr>
            <w:tcW w:w="3634" w:type="dxa"/>
            <w:vMerge w:val="continue"/>
            <w:tcBorders>
              <w:top w:val="nil"/>
            </w:tcBorders>
          </w:tcPr>
          <w:p>
            <w:pP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jc w:val="center"/>
        </w:trPr>
        <w:tc>
          <w:tcPr>
            <w:tcW w:w="505" w:type="dxa"/>
            <w:vMerge w:val="restart"/>
            <w:tcBorders>
              <w:bottom w:val="nil"/>
            </w:tcBorders>
            <w:textDirection w:val="tbRlV"/>
          </w:tcPr>
          <w:p>
            <w:pPr>
              <w:spacing w:before="160" w:line="199" w:lineRule="auto"/>
              <w:ind w:left="67"/>
              <w:rPr>
                <w:rFonts w:hint="eastAsia" w:ascii="宋体" w:hAnsi="宋体" w:eastAsia="宋体" w:cs="宋体"/>
                <w:sz w:val="18"/>
                <w:szCs w:val="18"/>
              </w:rPr>
            </w:pPr>
            <w:r>
              <w:rPr>
                <w:rFonts w:hint="eastAsia" w:ascii="宋体" w:hAnsi="宋体" w:eastAsia="宋体" w:cs="宋体"/>
                <w:spacing w:val="-1"/>
                <w:sz w:val="18"/>
                <w:szCs w:val="18"/>
              </w:rPr>
              <w:t>锂金属电池测试项</w:t>
            </w:r>
            <w:r>
              <w:rPr>
                <w:rFonts w:hint="eastAsia" w:ascii="宋体" w:hAnsi="宋体" w:eastAsia="宋体" w:cs="宋体"/>
                <w:spacing w:val="-1"/>
                <w:position w:val="1"/>
                <w:sz w:val="18"/>
                <w:szCs w:val="18"/>
              </w:rPr>
              <w:t>目</w:t>
            </w:r>
          </w:p>
        </w:tc>
        <w:tc>
          <w:tcPr>
            <w:tcW w:w="1931" w:type="dxa"/>
          </w:tcPr>
          <w:p>
            <w:pPr>
              <w:spacing w:before="68" w:line="282" w:lineRule="auto"/>
              <w:ind w:left="124" w:right="202" w:hanging="11"/>
              <w:rPr>
                <w:rFonts w:hint="eastAsia" w:ascii="宋体" w:hAnsi="宋体" w:eastAsia="宋体" w:cs="宋体"/>
                <w:sz w:val="18"/>
                <w:szCs w:val="18"/>
              </w:rPr>
            </w:pPr>
            <w:r>
              <w:rPr>
                <w:rFonts w:hint="eastAsia" w:ascii="宋体" w:hAnsi="宋体" w:eastAsia="宋体" w:cs="宋体"/>
                <w:spacing w:val="-2"/>
                <w:sz w:val="18"/>
                <w:szCs w:val="18"/>
              </w:rPr>
              <w:t>不与电池组分开运输</w:t>
            </w:r>
            <w:r>
              <w:rPr>
                <w:rFonts w:hint="eastAsia" w:ascii="宋体" w:hAnsi="宋体" w:eastAsia="宋体" w:cs="宋体"/>
                <w:spacing w:val="-8"/>
                <w:sz w:val="18"/>
                <w:szCs w:val="18"/>
              </w:rPr>
              <w:t>的电池</w:t>
            </w:r>
          </w:p>
        </w:tc>
        <w:tc>
          <w:tcPr>
            <w:tcW w:w="489" w:type="dxa"/>
          </w:tcPr>
          <w:p>
            <w:pPr>
              <w:spacing w:before="223" w:line="295" w:lineRule="exact"/>
              <w:ind w:left="173"/>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before="223" w:line="295" w:lineRule="exact"/>
              <w:ind w:left="174"/>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before="223" w:line="295" w:lineRule="exact"/>
              <w:ind w:left="174"/>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8" w:type="dxa"/>
          </w:tcPr>
          <w:p>
            <w:pPr>
              <w:spacing w:before="223" w:line="295" w:lineRule="exact"/>
              <w:ind w:left="172"/>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before="223" w:line="295" w:lineRule="exact"/>
              <w:ind w:left="174"/>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8" w:type="dxa"/>
          </w:tcPr>
          <w:p>
            <w:pPr>
              <w:spacing w:before="223" w:line="255"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223" w:line="295" w:lineRule="exact"/>
              <w:ind w:left="176"/>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24" w:type="dxa"/>
          </w:tcPr>
          <w:p>
            <w:pPr>
              <w:spacing w:before="223" w:line="255"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3634" w:type="dxa"/>
            <w:vMerge w:val="restart"/>
            <w:tcBorders>
              <w:bottom w:val="nil"/>
            </w:tcBorders>
          </w:tcPr>
          <w:p>
            <w:pPr>
              <w:pStyle w:val="20"/>
              <w:spacing w:before="122"/>
              <w:ind w:left="112" w:right="77" w:hanging="1"/>
              <w:jc w:val="both"/>
              <w:rPr>
                <w:rFonts w:hint="eastAsia" w:ascii="宋体" w:hAnsi="宋体" w:eastAsia="宋体" w:cs="宋体"/>
                <w:lang w:eastAsia="zh-CN"/>
              </w:rPr>
            </w:pPr>
            <w:r>
              <w:rPr>
                <w:rFonts w:hint="eastAsia" w:ascii="宋体" w:hAnsi="宋体" w:eastAsia="宋体" w:cs="宋体"/>
                <w:spacing w:val="-5"/>
                <w:lang w:eastAsia="zh-CN"/>
              </w:rPr>
              <w:t>T.1～T.4：无渗透、无排气、无解体、</w:t>
            </w:r>
            <w:r>
              <w:rPr>
                <w:rFonts w:hint="eastAsia" w:ascii="宋体" w:hAnsi="宋体" w:eastAsia="宋体" w:cs="宋体"/>
                <w:spacing w:val="3"/>
                <w:lang w:eastAsia="zh-CN"/>
              </w:rPr>
              <w:t>无破裂和无起火，并且每个试验电池或电池组在试验后的开路电压不小于</w:t>
            </w:r>
            <w:r>
              <w:rPr>
                <w:rFonts w:hint="eastAsia" w:ascii="宋体" w:hAnsi="宋体" w:eastAsia="宋体" w:cs="宋体"/>
                <w:spacing w:val="-1"/>
                <w:lang w:eastAsia="zh-CN"/>
              </w:rPr>
              <w:t>试验前电压的90%。</w:t>
            </w:r>
          </w:p>
          <w:p>
            <w:pPr>
              <w:spacing w:before="23" w:line="234" w:lineRule="auto"/>
              <w:ind w:left="113" w:right="106"/>
              <w:rPr>
                <w:rFonts w:hint="eastAsia" w:ascii="宋体" w:hAnsi="宋体" w:eastAsia="宋体" w:cs="宋体"/>
                <w:sz w:val="18"/>
                <w:szCs w:val="18"/>
              </w:rPr>
            </w:pPr>
            <w:r>
              <w:rPr>
                <w:rFonts w:hint="eastAsia" w:ascii="宋体" w:hAnsi="宋体" w:eastAsia="宋体" w:cs="宋体"/>
                <w:spacing w:val="3"/>
                <w:sz w:val="18"/>
                <w:szCs w:val="18"/>
              </w:rPr>
              <w:t>有关电压的要求不适用于完全放电状</w:t>
            </w:r>
            <w:r>
              <w:rPr>
                <w:rFonts w:hint="eastAsia" w:ascii="宋体" w:hAnsi="宋体" w:eastAsia="宋体" w:cs="宋体"/>
                <w:spacing w:val="-1"/>
                <w:sz w:val="18"/>
                <w:szCs w:val="18"/>
              </w:rPr>
              <w:t>态的试验电池和电池组。</w:t>
            </w:r>
          </w:p>
          <w:p>
            <w:pPr>
              <w:pStyle w:val="20"/>
              <w:spacing w:before="25" w:line="237" w:lineRule="auto"/>
              <w:ind w:left="111" w:right="106"/>
              <w:jc w:val="both"/>
              <w:rPr>
                <w:rFonts w:hint="eastAsia" w:ascii="宋体" w:hAnsi="宋体" w:eastAsia="宋体" w:cs="宋体"/>
                <w:lang w:eastAsia="zh-CN"/>
              </w:rPr>
            </w:pPr>
            <w:r>
              <w:rPr>
                <w:rFonts w:hint="eastAsia" w:ascii="宋体" w:hAnsi="宋体" w:eastAsia="宋体" w:cs="宋体"/>
                <w:spacing w:val="-4"/>
                <w:lang w:eastAsia="zh-CN"/>
              </w:rPr>
              <w:t>T.5～T.6：外壳温度不超过170℃,试</w:t>
            </w:r>
            <w:r>
              <w:rPr>
                <w:rFonts w:hint="eastAsia" w:ascii="宋体" w:hAnsi="宋体" w:eastAsia="宋体" w:cs="宋体"/>
                <w:spacing w:val="3"/>
                <w:lang w:eastAsia="zh-CN"/>
              </w:rPr>
              <w:t>验过程中及试验后6h内无解体、无破</w:t>
            </w:r>
            <w:r>
              <w:rPr>
                <w:rFonts w:hint="eastAsia" w:ascii="宋体" w:hAnsi="宋体" w:eastAsia="宋体" w:cs="宋体"/>
                <w:spacing w:val="-2"/>
                <w:lang w:eastAsia="zh-CN"/>
              </w:rPr>
              <w:t>裂、无起火。</w:t>
            </w:r>
          </w:p>
          <w:p>
            <w:pPr>
              <w:pStyle w:val="20"/>
              <w:spacing w:before="25" w:line="233" w:lineRule="auto"/>
              <w:ind w:left="114" w:right="53" w:hanging="3"/>
              <w:rPr>
                <w:rFonts w:hint="eastAsia" w:ascii="宋体" w:hAnsi="宋体" w:eastAsia="宋体" w:cs="宋体"/>
                <w:lang w:eastAsia="zh-CN"/>
              </w:rPr>
            </w:pPr>
            <w:r>
              <w:rPr>
                <w:rFonts w:hint="eastAsia" w:ascii="宋体" w:hAnsi="宋体" w:eastAsia="宋体" w:cs="宋体"/>
                <w:spacing w:val="-4"/>
                <w:lang w:eastAsia="zh-CN"/>
              </w:rPr>
              <w:t>T.8：试验过程及试验后7天内无解体、</w:t>
            </w:r>
            <w:r>
              <w:rPr>
                <w:rFonts w:hint="eastAsia" w:ascii="宋体" w:hAnsi="宋体" w:eastAsia="宋体" w:cs="宋体"/>
                <w:spacing w:val="-3"/>
                <w:lang w:eastAsia="zh-CN"/>
              </w:rPr>
              <w:t>无起火。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jc w:val="center"/>
        </w:trPr>
        <w:tc>
          <w:tcPr>
            <w:tcW w:w="505" w:type="dxa"/>
            <w:vMerge w:val="continue"/>
            <w:tcBorders>
              <w:top w:val="nil"/>
              <w:bottom w:val="nil"/>
            </w:tcBorders>
            <w:textDirection w:val="tbRlV"/>
          </w:tcPr>
          <w:p>
            <w:pPr>
              <w:rPr>
                <w:rFonts w:hint="eastAsia" w:ascii="宋体" w:hAnsi="宋体" w:eastAsia="宋体" w:cs="宋体"/>
                <w:sz w:val="18"/>
                <w:szCs w:val="18"/>
              </w:rPr>
            </w:pPr>
          </w:p>
        </w:tc>
        <w:tc>
          <w:tcPr>
            <w:tcW w:w="1931" w:type="dxa"/>
          </w:tcPr>
          <w:p>
            <w:pPr>
              <w:spacing w:before="68" w:line="220" w:lineRule="auto"/>
              <w:ind w:left="131"/>
              <w:rPr>
                <w:rFonts w:hint="eastAsia" w:ascii="宋体" w:hAnsi="宋体" w:eastAsia="宋体" w:cs="宋体"/>
                <w:sz w:val="18"/>
                <w:szCs w:val="18"/>
              </w:rPr>
            </w:pPr>
            <w:r>
              <w:rPr>
                <w:rFonts w:hint="eastAsia" w:ascii="宋体" w:hAnsi="宋体" w:eastAsia="宋体" w:cs="宋体"/>
                <w:spacing w:val="-8"/>
                <w:sz w:val="18"/>
                <w:szCs w:val="18"/>
              </w:rPr>
              <w:t>电池单体</w:t>
            </w:r>
          </w:p>
        </w:tc>
        <w:tc>
          <w:tcPr>
            <w:tcW w:w="489" w:type="dxa"/>
          </w:tcPr>
          <w:p>
            <w:pPr>
              <w:spacing w:before="67" w:line="239"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39"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39"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67" w:line="239"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39"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67" w:line="239"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39" w:lineRule="exact"/>
              <w:ind w:left="176"/>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24" w:type="dxa"/>
          </w:tcPr>
          <w:p>
            <w:pPr>
              <w:spacing w:before="67" w:line="239"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3634" w:type="dxa"/>
            <w:vMerge w:val="continue"/>
            <w:tcBorders>
              <w:top w:val="nil"/>
              <w:bottom w:val="nil"/>
            </w:tcBorders>
          </w:tcPr>
          <w:p>
            <w:pP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jc w:val="center"/>
        </w:trPr>
        <w:tc>
          <w:tcPr>
            <w:tcW w:w="505" w:type="dxa"/>
            <w:vMerge w:val="continue"/>
            <w:tcBorders>
              <w:top w:val="nil"/>
              <w:bottom w:val="nil"/>
            </w:tcBorders>
            <w:textDirection w:val="tbRlV"/>
          </w:tcPr>
          <w:p>
            <w:pPr>
              <w:rPr>
                <w:rFonts w:hint="eastAsia" w:ascii="宋体" w:hAnsi="宋体" w:eastAsia="宋体" w:cs="宋体"/>
                <w:sz w:val="18"/>
                <w:szCs w:val="18"/>
              </w:rPr>
            </w:pPr>
          </w:p>
        </w:tc>
        <w:tc>
          <w:tcPr>
            <w:tcW w:w="1931" w:type="dxa"/>
          </w:tcPr>
          <w:p>
            <w:pPr>
              <w:spacing w:before="67" w:line="220" w:lineRule="auto"/>
              <w:ind w:left="112"/>
              <w:rPr>
                <w:rFonts w:hint="eastAsia" w:ascii="宋体" w:hAnsi="宋体" w:eastAsia="宋体" w:cs="宋体"/>
                <w:sz w:val="18"/>
                <w:szCs w:val="18"/>
              </w:rPr>
            </w:pPr>
            <w:r>
              <w:rPr>
                <w:rFonts w:hint="eastAsia" w:ascii="宋体" w:hAnsi="宋体" w:eastAsia="宋体" w:cs="宋体"/>
                <w:spacing w:val="-2"/>
                <w:sz w:val="18"/>
                <w:szCs w:val="18"/>
              </w:rPr>
              <w:t>单电池电池组</w:t>
            </w:r>
          </w:p>
        </w:tc>
        <w:tc>
          <w:tcPr>
            <w:tcW w:w="489" w:type="dxa"/>
          </w:tcPr>
          <w:p>
            <w:pPr>
              <w:spacing w:before="67" w:line="240"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40"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40"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67" w:line="240"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40"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67" w:line="240"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40" w:lineRule="exact"/>
              <w:ind w:left="176"/>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24" w:type="dxa"/>
          </w:tcPr>
          <w:p>
            <w:pPr>
              <w:spacing w:before="67" w:line="240"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3634" w:type="dxa"/>
            <w:vMerge w:val="continue"/>
            <w:tcBorders>
              <w:top w:val="nil"/>
              <w:bottom w:val="nil"/>
            </w:tcBorders>
          </w:tcPr>
          <w:p>
            <w:pP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jc w:val="center"/>
        </w:trPr>
        <w:tc>
          <w:tcPr>
            <w:tcW w:w="505" w:type="dxa"/>
            <w:vMerge w:val="continue"/>
            <w:tcBorders>
              <w:top w:val="nil"/>
              <w:bottom w:val="nil"/>
            </w:tcBorders>
            <w:textDirection w:val="tbRlV"/>
          </w:tcPr>
          <w:p>
            <w:pPr>
              <w:rPr>
                <w:rFonts w:hint="eastAsia" w:ascii="宋体" w:hAnsi="宋体" w:eastAsia="宋体" w:cs="宋体"/>
                <w:sz w:val="18"/>
                <w:szCs w:val="18"/>
              </w:rPr>
            </w:pPr>
          </w:p>
        </w:tc>
        <w:tc>
          <w:tcPr>
            <w:tcW w:w="1931" w:type="dxa"/>
          </w:tcPr>
          <w:p>
            <w:pPr>
              <w:spacing w:before="67" w:line="225" w:lineRule="auto"/>
              <w:ind w:left="131"/>
              <w:rPr>
                <w:rFonts w:hint="eastAsia" w:ascii="宋体" w:hAnsi="宋体" w:eastAsia="宋体" w:cs="宋体"/>
                <w:sz w:val="18"/>
                <w:szCs w:val="18"/>
              </w:rPr>
            </w:pPr>
            <w:r>
              <w:rPr>
                <w:rFonts w:hint="eastAsia" w:ascii="宋体" w:hAnsi="宋体" w:eastAsia="宋体" w:cs="宋体"/>
                <w:spacing w:val="-10"/>
                <w:sz w:val="18"/>
                <w:szCs w:val="18"/>
              </w:rPr>
              <w:t>电池组</w:t>
            </w:r>
          </w:p>
        </w:tc>
        <w:tc>
          <w:tcPr>
            <w:tcW w:w="489" w:type="dxa"/>
          </w:tcPr>
          <w:p>
            <w:pPr>
              <w:spacing w:before="67" w:line="240"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40"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40"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67" w:line="240"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40"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67" w:line="240" w:lineRule="exact"/>
              <w:ind w:left="175"/>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7" w:line="240" w:lineRule="exact"/>
              <w:ind w:left="176"/>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24" w:type="dxa"/>
          </w:tcPr>
          <w:p>
            <w:pPr>
              <w:spacing w:before="67" w:line="240"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3634" w:type="dxa"/>
            <w:vMerge w:val="continue"/>
            <w:tcBorders>
              <w:top w:val="nil"/>
              <w:bottom w:val="nil"/>
            </w:tcBorders>
          </w:tcPr>
          <w:p>
            <w:pP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12" w:hRule="atLeast"/>
          <w:jc w:val="center"/>
        </w:trPr>
        <w:tc>
          <w:tcPr>
            <w:tcW w:w="505" w:type="dxa"/>
            <w:vMerge w:val="continue"/>
            <w:tcBorders>
              <w:top w:val="nil"/>
            </w:tcBorders>
            <w:textDirection w:val="tbRlV"/>
          </w:tcPr>
          <w:p>
            <w:pPr>
              <w:rPr>
                <w:rFonts w:hint="eastAsia" w:ascii="宋体" w:hAnsi="宋体" w:eastAsia="宋体" w:cs="宋体"/>
                <w:sz w:val="18"/>
                <w:szCs w:val="18"/>
              </w:rPr>
            </w:pPr>
          </w:p>
        </w:tc>
        <w:tc>
          <w:tcPr>
            <w:tcW w:w="1931" w:type="dxa"/>
          </w:tcPr>
          <w:p>
            <w:pPr>
              <w:spacing w:before="68" w:line="307" w:lineRule="auto"/>
              <w:ind w:left="112" w:right="202" w:firstLine="20"/>
              <w:rPr>
                <w:rFonts w:hint="eastAsia" w:ascii="宋体" w:hAnsi="宋体" w:eastAsia="宋体" w:cs="宋体"/>
                <w:sz w:val="18"/>
                <w:szCs w:val="18"/>
              </w:rPr>
            </w:pPr>
            <w:r>
              <w:rPr>
                <w:rFonts w:hint="eastAsia" w:ascii="宋体" w:hAnsi="宋体" w:eastAsia="宋体" w:cs="宋体"/>
                <w:spacing w:val="-4"/>
                <w:sz w:val="18"/>
                <w:szCs w:val="18"/>
              </w:rPr>
              <w:t>由试验过的电池组组</w:t>
            </w:r>
            <w:r>
              <w:rPr>
                <w:rFonts w:hint="eastAsia" w:ascii="宋体" w:hAnsi="宋体" w:eastAsia="宋体" w:cs="宋体"/>
                <w:spacing w:val="-2"/>
                <w:sz w:val="18"/>
                <w:szCs w:val="18"/>
              </w:rPr>
              <w:t>成的电池组组件</w:t>
            </w:r>
            <w:r>
              <w:rPr>
                <w:rFonts w:hint="eastAsia" w:ascii="宋体" w:hAnsi="宋体" w:eastAsia="宋体" w:cs="宋体"/>
                <w:spacing w:val="-1"/>
                <w:sz w:val="18"/>
                <w:szCs w:val="18"/>
              </w:rPr>
              <w:t>锂含量不大于500g</w:t>
            </w:r>
            <w:r>
              <w:rPr>
                <w:rFonts w:hint="eastAsia" w:ascii="宋体" w:hAnsi="宋体" w:eastAsia="宋体" w:cs="宋体"/>
                <w:spacing w:val="-1"/>
                <w:position w:val="6"/>
                <w:sz w:val="18"/>
                <w:szCs w:val="18"/>
              </w:rPr>
              <w:t>a</w:t>
            </w:r>
          </w:p>
        </w:tc>
        <w:tc>
          <w:tcPr>
            <w:tcW w:w="489" w:type="dxa"/>
          </w:tcPr>
          <w:p>
            <w:pPr>
              <w:spacing w:line="454" w:lineRule="auto"/>
              <w:rPr>
                <w:rFonts w:hint="eastAsia" w:ascii="宋体" w:hAnsi="宋体" w:eastAsia="宋体" w:cs="宋体"/>
                <w:sz w:val="18"/>
                <w:szCs w:val="18"/>
              </w:rPr>
            </w:pPr>
          </w:p>
          <w:p>
            <w:pPr>
              <w:spacing w:before="58" w:line="295" w:lineRule="exact"/>
              <w:ind w:left="173"/>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line="454" w:lineRule="auto"/>
              <w:rPr>
                <w:rFonts w:hint="eastAsia" w:ascii="宋体" w:hAnsi="宋体" w:eastAsia="宋体" w:cs="宋体"/>
                <w:sz w:val="18"/>
                <w:szCs w:val="18"/>
              </w:rPr>
            </w:pPr>
          </w:p>
          <w:p>
            <w:pPr>
              <w:spacing w:before="58" w:line="295" w:lineRule="exact"/>
              <w:ind w:left="174"/>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line="454" w:lineRule="auto"/>
              <w:rPr>
                <w:rFonts w:hint="eastAsia" w:ascii="宋体" w:hAnsi="宋体" w:eastAsia="宋体" w:cs="宋体"/>
                <w:sz w:val="18"/>
                <w:szCs w:val="18"/>
              </w:rPr>
            </w:pPr>
          </w:p>
          <w:p>
            <w:pPr>
              <w:spacing w:before="58" w:line="255"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line="454" w:lineRule="auto"/>
              <w:rPr>
                <w:rFonts w:hint="eastAsia" w:ascii="宋体" w:hAnsi="宋体" w:eastAsia="宋体" w:cs="宋体"/>
                <w:sz w:val="18"/>
                <w:szCs w:val="18"/>
              </w:rPr>
            </w:pPr>
          </w:p>
          <w:p>
            <w:pPr>
              <w:spacing w:before="58" w:line="255"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line="454" w:lineRule="auto"/>
              <w:rPr>
                <w:rFonts w:hint="eastAsia" w:ascii="宋体" w:hAnsi="宋体" w:eastAsia="宋体" w:cs="宋体"/>
                <w:sz w:val="18"/>
                <w:szCs w:val="18"/>
              </w:rPr>
            </w:pPr>
          </w:p>
          <w:p>
            <w:pPr>
              <w:spacing w:before="58" w:line="255"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line="454" w:lineRule="auto"/>
              <w:rPr>
                <w:rFonts w:hint="eastAsia" w:ascii="宋体" w:hAnsi="宋体" w:eastAsia="宋体" w:cs="宋体"/>
                <w:sz w:val="18"/>
                <w:szCs w:val="18"/>
              </w:rPr>
            </w:pPr>
          </w:p>
          <w:p>
            <w:pPr>
              <w:spacing w:before="58" w:line="295" w:lineRule="exact"/>
              <w:ind w:left="175"/>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line="454" w:lineRule="auto"/>
              <w:rPr>
                <w:rFonts w:hint="eastAsia" w:ascii="宋体" w:hAnsi="宋体" w:eastAsia="宋体" w:cs="宋体"/>
                <w:sz w:val="18"/>
                <w:szCs w:val="18"/>
              </w:rPr>
            </w:pPr>
          </w:p>
          <w:p>
            <w:pPr>
              <w:spacing w:before="58" w:line="295" w:lineRule="exact"/>
              <w:ind w:left="176"/>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24" w:type="dxa"/>
          </w:tcPr>
          <w:p>
            <w:pPr>
              <w:spacing w:line="454" w:lineRule="auto"/>
              <w:rPr>
                <w:rFonts w:hint="eastAsia" w:ascii="宋体" w:hAnsi="宋体" w:eastAsia="宋体" w:cs="宋体"/>
                <w:sz w:val="18"/>
                <w:szCs w:val="18"/>
              </w:rPr>
            </w:pPr>
          </w:p>
          <w:p>
            <w:pPr>
              <w:spacing w:before="58" w:line="295" w:lineRule="exact"/>
              <w:ind w:left="174"/>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3634" w:type="dxa"/>
            <w:vMerge w:val="continue"/>
            <w:tcBorders>
              <w:top w:val="nil"/>
            </w:tcBorders>
          </w:tcPr>
          <w:p>
            <w:pP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505" w:type="dxa"/>
            <w:vMerge w:val="restart"/>
            <w:tcBorders>
              <w:bottom w:val="nil"/>
            </w:tcBorders>
            <w:textDirection w:val="tbRlV"/>
          </w:tcPr>
          <w:p>
            <w:pPr>
              <w:spacing w:before="160" w:line="199" w:lineRule="auto"/>
              <w:ind w:left="344"/>
              <w:rPr>
                <w:rFonts w:hint="eastAsia" w:ascii="宋体" w:hAnsi="宋体" w:eastAsia="宋体" w:cs="宋体"/>
                <w:sz w:val="18"/>
                <w:szCs w:val="18"/>
              </w:rPr>
            </w:pPr>
            <w:r>
              <w:rPr>
                <w:rFonts w:hint="eastAsia" w:ascii="宋体" w:hAnsi="宋体" w:eastAsia="宋体" w:cs="宋体"/>
                <w:spacing w:val="-1"/>
                <w:sz w:val="18"/>
                <w:szCs w:val="18"/>
              </w:rPr>
              <w:t>锂离子电池测试项</w:t>
            </w:r>
            <w:r>
              <w:rPr>
                <w:rFonts w:hint="eastAsia" w:ascii="宋体" w:hAnsi="宋体" w:eastAsia="宋体" w:cs="宋体"/>
                <w:spacing w:val="-1"/>
                <w:position w:val="1"/>
                <w:sz w:val="18"/>
                <w:szCs w:val="18"/>
              </w:rPr>
              <w:t>目</w:t>
            </w:r>
          </w:p>
        </w:tc>
        <w:tc>
          <w:tcPr>
            <w:tcW w:w="1931" w:type="dxa"/>
          </w:tcPr>
          <w:p>
            <w:pPr>
              <w:spacing w:before="69" w:line="282" w:lineRule="auto"/>
              <w:ind w:left="124" w:right="202" w:hanging="11"/>
              <w:rPr>
                <w:rFonts w:hint="eastAsia" w:ascii="宋体" w:hAnsi="宋体" w:eastAsia="宋体" w:cs="宋体"/>
                <w:sz w:val="18"/>
                <w:szCs w:val="18"/>
              </w:rPr>
            </w:pPr>
            <w:r>
              <w:rPr>
                <w:rFonts w:hint="eastAsia" w:ascii="宋体" w:hAnsi="宋体" w:eastAsia="宋体" w:cs="宋体"/>
                <w:spacing w:val="-2"/>
                <w:sz w:val="18"/>
                <w:szCs w:val="18"/>
              </w:rPr>
              <w:t>不与电池组分开运输</w:t>
            </w:r>
            <w:r>
              <w:rPr>
                <w:rFonts w:hint="eastAsia" w:ascii="宋体" w:hAnsi="宋体" w:eastAsia="宋体" w:cs="宋体"/>
                <w:spacing w:val="-8"/>
                <w:sz w:val="18"/>
                <w:szCs w:val="18"/>
              </w:rPr>
              <w:t>的电池</w:t>
            </w:r>
          </w:p>
        </w:tc>
        <w:tc>
          <w:tcPr>
            <w:tcW w:w="489" w:type="dxa"/>
          </w:tcPr>
          <w:p>
            <w:pPr>
              <w:spacing w:before="224" w:line="295" w:lineRule="exact"/>
              <w:ind w:left="173"/>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before="224" w:line="295" w:lineRule="exact"/>
              <w:ind w:left="174"/>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before="224" w:line="295" w:lineRule="exact"/>
              <w:ind w:left="174"/>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8" w:type="dxa"/>
          </w:tcPr>
          <w:p>
            <w:pPr>
              <w:spacing w:before="224" w:line="295" w:lineRule="exact"/>
              <w:ind w:left="172"/>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before="224" w:line="295" w:lineRule="exact"/>
              <w:ind w:left="174"/>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8" w:type="dxa"/>
          </w:tcPr>
          <w:p>
            <w:pPr>
              <w:spacing w:before="224" w:line="255"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224" w:line="295" w:lineRule="exact"/>
              <w:ind w:left="176"/>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24" w:type="dxa"/>
          </w:tcPr>
          <w:p>
            <w:pPr>
              <w:spacing w:before="224" w:line="255"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3634" w:type="dxa"/>
            <w:vMerge w:val="restart"/>
            <w:tcBorders>
              <w:bottom w:val="nil"/>
            </w:tcBorders>
          </w:tcPr>
          <w:p>
            <w:pPr>
              <w:pStyle w:val="20"/>
              <w:spacing w:before="39"/>
              <w:ind w:left="112" w:right="77" w:hanging="1"/>
              <w:jc w:val="both"/>
              <w:rPr>
                <w:rFonts w:hint="eastAsia" w:ascii="宋体" w:hAnsi="宋体" w:eastAsia="宋体" w:cs="宋体"/>
                <w:lang w:eastAsia="zh-CN"/>
              </w:rPr>
            </w:pPr>
            <w:r>
              <w:rPr>
                <w:rFonts w:hint="eastAsia" w:ascii="宋体" w:hAnsi="宋体" w:eastAsia="宋体" w:cs="宋体"/>
                <w:spacing w:val="-5"/>
                <w:lang w:eastAsia="zh-CN"/>
              </w:rPr>
              <w:t>T.1～T.4：无渗透、无排气、无解体、</w:t>
            </w:r>
            <w:r>
              <w:rPr>
                <w:rFonts w:hint="eastAsia" w:ascii="宋体" w:hAnsi="宋体" w:eastAsia="宋体" w:cs="宋体"/>
                <w:spacing w:val="3"/>
                <w:lang w:eastAsia="zh-CN"/>
              </w:rPr>
              <w:t>无破裂和无起火，并且每个试验电池或电池组在试验后的开路电压不小于</w:t>
            </w:r>
            <w:r>
              <w:rPr>
                <w:rFonts w:hint="eastAsia" w:ascii="宋体" w:hAnsi="宋体" w:eastAsia="宋体" w:cs="宋体"/>
                <w:spacing w:val="-1"/>
                <w:lang w:eastAsia="zh-CN"/>
              </w:rPr>
              <w:t>试验前电压的90%。</w:t>
            </w:r>
          </w:p>
          <w:p>
            <w:pPr>
              <w:pStyle w:val="20"/>
              <w:spacing w:before="25" w:line="237" w:lineRule="auto"/>
              <w:ind w:left="111" w:right="106"/>
              <w:jc w:val="both"/>
              <w:rPr>
                <w:rFonts w:hint="eastAsia" w:ascii="宋体" w:hAnsi="宋体" w:eastAsia="宋体" w:cs="宋体"/>
                <w:lang w:eastAsia="zh-CN"/>
              </w:rPr>
            </w:pPr>
            <w:r>
              <w:rPr>
                <w:rFonts w:hint="eastAsia" w:ascii="宋体" w:hAnsi="宋体" w:eastAsia="宋体" w:cs="宋体"/>
                <w:spacing w:val="-4"/>
                <w:lang w:eastAsia="zh-CN"/>
              </w:rPr>
              <w:t>T.5～T.6：外壳温度不超过170℃,试</w:t>
            </w:r>
            <w:r>
              <w:rPr>
                <w:rFonts w:hint="eastAsia" w:ascii="宋体" w:hAnsi="宋体" w:eastAsia="宋体" w:cs="宋体"/>
                <w:spacing w:val="3"/>
                <w:lang w:eastAsia="zh-CN"/>
              </w:rPr>
              <w:t>验过程中及试验后6h内无解体、无破</w:t>
            </w:r>
            <w:r>
              <w:rPr>
                <w:rFonts w:hint="eastAsia" w:ascii="宋体" w:hAnsi="宋体" w:eastAsia="宋体" w:cs="宋体"/>
                <w:spacing w:val="-2"/>
                <w:lang w:eastAsia="zh-CN"/>
              </w:rPr>
              <w:t>裂、无起火。</w:t>
            </w:r>
          </w:p>
          <w:p>
            <w:pPr>
              <w:pStyle w:val="20"/>
              <w:spacing w:before="25" w:line="233" w:lineRule="auto"/>
              <w:ind w:left="111" w:right="106"/>
              <w:rPr>
                <w:rFonts w:hint="eastAsia" w:ascii="宋体" w:hAnsi="宋体" w:eastAsia="宋体" w:cs="宋体"/>
                <w:lang w:eastAsia="zh-CN"/>
              </w:rPr>
            </w:pPr>
            <w:r>
              <w:rPr>
                <w:rFonts w:hint="eastAsia" w:ascii="宋体" w:hAnsi="宋体" w:eastAsia="宋体" w:cs="宋体"/>
                <w:spacing w:val="-1"/>
                <w:lang w:eastAsia="zh-CN"/>
              </w:rPr>
              <w:t>T.7～T.8：试验过程及试验后7天内无解体、无起火。</w:t>
            </w:r>
          </w:p>
          <w:p>
            <w:pPr>
              <w:pStyle w:val="20"/>
              <w:spacing w:before="24" w:line="237" w:lineRule="auto"/>
              <w:ind w:left="112" w:right="106" w:firstLine="4"/>
              <w:jc w:val="both"/>
              <w:rPr>
                <w:rFonts w:hint="eastAsia" w:ascii="宋体" w:hAnsi="宋体" w:eastAsia="宋体" w:cs="宋体"/>
                <w:lang w:eastAsia="zh-CN"/>
              </w:rPr>
            </w:pPr>
            <w:r>
              <w:rPr>
                <w:rFonts w:hint="eastAsia" w:ascii="宋体" w:hAnsi="宋体" w:eastAsia="宋体" w:cs="宋体"/>
                <w:spacing w:val="3"/>
                <w:lang w:eastAsia="zh-CN"/>
              </w:rPr>
              <w:t>如未安装过度充电保护装置，按设计要求仅用在另一个带过度充电保护装置的电池组或设备中的电池组或单一</w:t>
            </w:r>
            <w:r>
              <w:rPr>
                <w:rFonts w:hint="eastAsia" w:ascii="宋体" w:hAnsi="宋体" w:eastAsia="宋体" w:cs="宋体"/>
                <w:spacing w:val="-1"/>
                <w:lang w:eastAsia="zh-CN"/>
              </w:rPr>
              <w:t>电池电池组，则无需满足T.7过度充电试验的要求。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jc w:val="center"/>
        </w:trPr>
        <w:tc>
          <w:tcPr>
            <w:tcW w:w="505" w:type="dxa"/>
            <w:vMerge w:val="continue"/>
            <w:tcBorders>
              <w:top w:val="nil"/>
              <w:bottom w:val="nil"/>
            </w:tcBorders>
            <w:textDirection w:val="tbRlV"/>
          </w:tcPr>
          <w:p>
            <w:pPr>
              <w:rPr>
                <w:rFonts w:hint="eastAsia" w:ascii="宋体" w:hAnsi="宋体" w:eastAsia="宋体" w:cs="宋体"/>
                <w:sz w:val="18"/>
                <w:szCs w:val="18"/>
              </w:rPr>
            </w:pPr>
          </w:p>
        </w:tc>
        <w:tc>
          <w:tcPr>
            <w:tcW w:w="1931" w:type="dxa"/>
          </w:tcPr>
          <w:p>
            <w:pPr>
              <w:spacing w:before="68" w:line="220" w:lineRule="auto"/>
              <w:ind w:left="131"/>
              <w:rPr>
                <w:rFonts w:hint="eastAsia" w:ascii="宋体" w:hAnsi="宋体" w:eastAsia="宋体" w:cs="宋体"/>
                <w:sz w:val="18"/>
                <w:szCs w:val="18"/>
              </w:rPr>
            </w:pPr>
            <w:r>
              <w:rPr>
                <w:rFonts w:hint="eastAsia" w:ascii="宋体" w:hAnsi="宋体" w:eastAsia="宋体" w:cs="宋体"/>
                <w:spacing w:val="-8"/>
                <w:sz w:val="18"/>
                <w:szCs w:val="18"/>
              </w:rPr>
              <w:t>电池单体</w:t>
            </w:r>
          </w:p>
        </w:tc>
        <w:tc>
          <w:tcPr>
            <w:tcW w:w="489" w:type="dxa"/>
          </w:tcPr>
          <w:p>
            <w:pPr>
              <w:spacing w:before="68" w:line="239"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8" w:line="239"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8" w:line="239"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68" w:line="239"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8" w:line="239"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68" w:line="239"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8" w:line="239" w:lineRule="exact"/>
              <w:ind w:left="176"/>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24" w:type="dxa"/>
          </w:tcPr>
          <w:p>
            <w:pPr>
              <w:spacing w:before="68" w:line="239"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3634" w:type="dxa"/>
            <w:vMerge w:val="continue"/>
            <w:tcBorders>
              <w:top w:val="nil"/>
              <w:bottom w:val="nil"/>
            </w:tcBorders>
          </w:tcPr>
          <w:p>
            <w:pP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jc w:val="center"/>
        </w:trPr>
        <w:tc>
          <w:tcPr>
            <w:tcW w:w="505" w:type="dxa"/>
            <w:vMerge w:val="continue"/>
            <w:tcBorders>
              <w:top w:val="nil"/>
              <w:bottom w:val="nil"/>
            </w:tcBorders>
            <w:textDirection w:val="tbRlV"/>
          </w:tcPr>
          <w:p>
            <w:pPr>
              <w:rPr>
                <w:rFonts w:hint="eastAsia" w:ascii="宋体" w:hAnsi="宋体" w:eastAsia="宋体" w:cs="宋体"/>
                <w:sz w:val="18"/>
                <w:szCs w:val="18"/>
              </w:rPr>
            </w:pPr>
          </w:p>
        </w:tc>
        <w:tc>
          <w:tcPr>
            <w:tcW w:w="1931" w:type="dxa"/>
          </w:tcPr>
          <w:p>
            <w:pPr>
              <w:spacing w:before="68" w:line="220" w:lineRule="auto"/>
              <w:ind w:left="112"/>
              <w:rPr>
                <w:rFonts w:hint="eastAsia" w:ascii="宋体" w:hAnsi="宋体" w:eastAsia="宋体" w:cs="宋体"/>
                <w:sz w:val="18"/>
                <w:szCs w:val="18"/>
              </w:rPr>
            </w:pPr>
            <w:r>
              <w:rPr>
                <w:rFonts w:hint="eastAsia" w:ascii="宋体" w:hAnsi="宋体" w:eastAsia="宋体" w:cs="宋体"/>
                <w:spacing w:val="-2"/>
                <w:sz w:val="18"/>
                <w:szCs w:val="18"/>
              </w:rPr>
              <w:t>单电池电池组</w:t>
            </w:r>
          </w:p>
        </w:tc>
        <w:tc>
          <w:tcPr>
            <w:tcW w:w="489" w:type="dxa"/>
          </w:tcPr>
          <w:p>
            <w:pPr>
              <w:spacing w:before="68" w:line="239"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8" w:line="239"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8" w:line="239"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68" w:line="239"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8" w:line="239"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68" w:line="239"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68" w:line="239" w:lineRule="exact"/>
              <w:ind w:left="175"/>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24" w:type="dxa"/>
          </w:tcPr>
          <w:p>
            <w:pPr>
              <w:spacing w:before="68" w:line="239"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3634" w:type="dxa"/>
            <w:vMerge w:val="continue"/>
            <w:tcBorders>
              <w:top w:val="nil"/>
              <w:bottom w:val="nil"/>
            </w:tcBorders>
          </w:tcPr>
          <w:p>
            <w:pP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jc w:val="center"/>
        </w:trPr>
        <w:tc>
          <w:tcPr>
            <w:tcW w:w="505" w:type="dxa"/>
            <w:vMerge w:val="continue"/>
            <w:tcBorders>
              <w:top w:val="nil"/>
              <w:bottom w:val="nil"/>
            </w:tcBorders>
            <w:textDirection w:val="tbRlV"/>
          </w:tcPr>
          <w:p>
            <w:pPr>
              <w:rPr>
                <w:rFonts w:hint="eastAsia" w:ascii="宋体" w:hAnsi="宋体" w:eastAsia="宋体" w:cs="宋体"/>
                <w:sz w:val="18"/>
                <w:szCs w:val="18"/>
              </w:rPr>
            </w:pPr>
          </w:p>
        </w:tc>
        <w:tc>
          <w:tcPr>
            <w:tcW w:w="1931" w:type="dxa"/>
          </w:tcPr>
          <w:p>
            <w:pPr>
              <w:spacing w:before="70" w:line="225" w:lineRule="auto"/>
              <w:ind w:left="131"/>
              <w:rPr>
                <w:rFonts w:hint="eastAsia" w:ascii="宋体" w:hAnsi="宋体" w:eastAsia="宋体" w:cs="宋体"/>
                <w:sz w:val="18"/>
                <w:szCs w:val="18"/>
              </w:rPr>
            </w:pPr>
            <w:r>
              <w:rPr>
                <w:rFonts w:hint="eastAsia" w:ascii="宋体" w:hAnsi="宋体" w:eastAsia="宋体" w:cs="宋体"/>
                <w:spacing w:val="-10"/>
                <w:sz w:val="18"/>
                <w:szCs w:val="18"/>
              </w:rPr>
              <w:t>电池组</w:t>
            </w:r>
          </w:p>
        </w:tc>
        <w:tc>
          <w:tcPr>
            <w:tcW w:w="489" w:type="dxa"/>
          </w:tcPr>
          <w:p>
            <w:pPr>
              <w:spacing w:before="70" w:line="237"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70" w:line="237"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70" w:line="237"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70" w:line="237"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70" w:line="237"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before="70" w:line="237" w:lineRule="exact"/>
              <w:ind w:left="175"/>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before="70" w:line="237" w:lineRule="exact"/>
              <w:ind w:left="175"/>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24" w:type="dxa"/>
          </w:tcPr>
          <w:p>
            <w:pPr>
              <w:spacing w:before="70" w:line="237" w:lineRule="exact"/>
              <w:ind w:left="174"/>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3634" w:type="dxa"/>
            <w:vMerge w:val="continue"/>
            <w:tcBorders>
              <w:top w:val="nil"/>
              <w:bottom w:val="nil"/>
            </w:tcBorders>
          </w:tcPr>
          <w:p>
            <w:pP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764" w:hRule="atLeast"/>
          <w:jc w:val="center"/>
        </w:trPr>
        <w:tc>
          <w:tcPr>
            <w:tcW w:w="505" w:type="dxa"/>
            <w:vMerge w:val="continue"/>
            <w:tcBorders>
              <w:top w:val="nil"/>
            </w:tcBorders>
            <w:textDirection w:val="tbRlV"/>
          </w:tcPr>
          <w:p>
            <w:pPr>
              <w:rPr>
                <w:rFonts w:hint="eastAsia" w:ascii="宋体" w:hAnsi="宋体" w:eastAsia="宋体" w:cs="宋体"/>
                <w:sz w:val="18"/>
                <w:szCs w:val="18"/>
              </w:rPr>
            </w:pPr>
          </w:p>
        </w:tc>
        <w:tc>
          <w:tcPr>
            <w:tcW w:w="1931" w:type="dxa"/>
          </w:tcPr>
          <w:p>
            <w:pPr>
              <w:spacing w:before="69" w:line="307" w:lineRule="auto"/>
              <w:ind w:left="112" w:right="202" w:firstLine="20"/>
              <w:rPr>
                <w:rFonts w:hint="eastAsia" w:ascii="宋体" w:hAnsi="宋体" w:eastAsia="宋体" w:cs="宋体"/>
                <w:sz w:val="18"/>
                <w:szCs w:val="18"/>
              </w:rPr>
            </w:pPr>
            <w:r>
              <w:rPr>
                <w:rFonts w:hint="eastAsia" w:ascii="宋体" w:hAnsi="宋体" w:eastAsia="宋体" w:cs="宋体"/>
                <w:spacing w:val="-4"/>
                <w:sz w:val="18"/>
                <w:szCs w:val="18"/>
              </w:rPr>
              <w:t>由试验过的电池组组</w:t>
            </w:r>
            <w:r>
              <w:rPr>
                <w:rFonts w:hint="eastAsia" w:ascii="宋体" w:hAnsi="宋体" w:eastAsia="宋体" w:cs="宋体"/>
                <w:spacing w:val="-2"/>
                <w:sz w:val="18"/>
                <w:szCs w:val="18"/>
              </w:rPr>
              <w:t>成的电池组组件</w:t>
            </w:r>
            <w:r>
              <w:rPr>
                <w:rFonts w:hint="eastAsia" w:ascii="宋体" w:hAnsi="宋体" w:eastAsia="宋体" w:cs="宋体"/>
                <w:spacing w:val="-1"/>
                <w:sz w:val="18"/>
                <w:szCs w:val="18"/>
              </w:rPr>
              <w:t>额定能量不大于6200Wh或锂含量不大于</w:t>
            </w:r>
            <w:r>
              <w:rPr>
                <w:rFonts w:hint="eastAsia" w:ascii="宋体" w:hAnsi="宋体" w:eastAsia="宋体" w:cs="宋体"/>
                <w:spacing w:val="-2"/>
                <w:sz w:val="18"/>
                <w:szCs w:val="18"/>
              </w:rPr>
              <w:t>500g</w:t>
            </w:r>
            <w:r>
              <w:rPr>
                <w:rFonts w:hint="eastAsia" w:ascii="宋体" w:hAnsi="宋体" w:eastAsia="宋体" w:cs="宋体"/>
                <w:spacing w:val="-2"/>
                <w:position w:val="5"/>
                <w:sz w:val="18"/>
                <w:szCs w:val="18"/>
              </w:rPr>
              <w:t>b</w:t>
            </w:r>
          </w:p>
        </w:tc>
        <w:tc>
          <w:tcPr>
            <w:tcW w:w="489" w:type="dxa"/>
          </w:tcPr>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before="58" w:line="295" w:lineRule="exact"/>
              <w:ind w:left="173"/>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before="58" w:line="295" w:lineRule="exact"/>
              <w:ind w:left="174"/>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before="58" w:line="255"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before="58" w:line="255" w:lineRule="exact"/>
              <w:ind w:left="172"/>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9" w:type="dxa"/>
          </w:tcPr>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before="58" w:line="255" w:lineRule="exact"/>
              <w:ind w:left="173"/>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88" w:type="dxa"/>
          </w:tcPr>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before="58" w:line="295" w:lineRule="exact"/>
              <w:ind w:left="175"/>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489" w:type="dxa"/>
          </w:tcPr>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before="58" w:line="255" w:lineRule="exact"/>
              <w:ind w:left="175"/>
              <w:rPr>
                <w:rFonts w:hint="eastAsia" w:ascii="宋体" w:hAnsi="宋体" w:eastAsia="宋体" w:cs="宋体"/>
                <w:sz w:val="18"/>
                <w:szCs w:val="18"/>
              </w:rPr>
            </w:pPr>
            <w:r>
              <w:rPr>
                <w:rFonts w:hint="eastAsia" w:ascii="宋体" w:hAnsi="宋体" w:eastAsia="宋体" w:cs="宋体"/>
                <w:spacing w:val="21"/>
                <w:w w:val="125"/>
                <w:position w:val="1"/>
                <w:sz w:val="18"/>
                <w:szCs w:val="18"/>
              </w:rPr>
              <w:t>+</w:t>
            </w:r>
          </w:p>
        </w:tc>
        <w:tc>
          <w:tcPr>
            <w:tcW w:w="424" w:type="dxa"/>
          </w:tcPr>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line="243" w:lineRule="auto"/>
              <w:rPr>
                <w:rFonts w:hint="eastAsia" w:ascii="宋体" w:hAnsi="宋体" w:eastAsia="宋体" w:cs="宋体"/>
                <w:sz w:val="18"/>
                <w:szCs w:val="18"/>
              </w:rPr>
            </w:pPr>
          </w:p>
          <w:p>
            <w:pPr>
              <w:spacing w:before="58" w:line="295" w:lineRule="exact"/>
              <w:ind w:left="174"/>
              <w:rPr>
                <w:rFonts w:hint="eastAsia" w:ascii="宋体" w:hAnsi="宋体" w:eastAsia="宋体" w:cs="宋体"/>
                <w:sz w:val="18"/>
                <w:szCs w:val="18"/>
              </w:rPr>
            </w:pPr>
            <w:r>
              <w:rPr>
                <w:rFonts w:hint="eastAsia" w:ascii="宋体" w:hAnsi="宋体" w:eastAsia="宋体" w:cs="宋体"/>
                <w:spacing w:val="21"/>
                <w:w w:val="125"/>
                <w:position w:val="2"/>
                <w:sz w:val="18"/>
                <w:szCs w:val="18"/>
              </w:rPr>
              <w:t>-</w:t>
            </w:r>
          </w:p>
        </w:tc>
        <w:tc>
          <w:tcPr>
            <w:tcW w:w="3634" w:type="dxa"/>
            <w:vMerge w:val="continue"/>
            <w:tcBorders>
              <w:top w:val="nil"/>
            </w:tcBorders>
          </w:tcPr>
          <w:p>
            <w:pP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jc w:val="center"/>
        </w:trPr>
        <w:tc>
          <w:tcPr>
            <w:tcW w:w="9915" w:type="dxa"/>
            <w:gridSpan w:val="11"/>
          </w:tcPr>
          <w:p>
            <w:pPr>
              <w:pStyle w:val="20"/>
              <w:spacing w:before="69" w:line="222" w:lineRule="auto"/>
              <w:ind w:left="473"/>
              <w:rPr>
                <w:rFonts w:hint="eastAsia" w:ascii="宋体" w:hAnsi="宋体" w:eastAsia="宋体" w:cs="宋体"/>
                <w:lang w:eastAsia="zh-CN"/>
              </w:rPr>
            </w:pPr>
            <w:r>
              <w:rPr>
                <w:rFonts w:hint="eastAsia" w:ascii="宋体" w:hAnsi="宋体" w:eastAsia="宋体" w:cs="宋体"/>
                <w:lang w:eastAsia="zh-CN"/>
              </w:rPr>
              <w:t>注1：T.1为高度模拟试验；T.2为温度试验；T.3为</w:t>
            </w:r>
            <w:r>
              <w:rPr>
                <w:rFonts w:hint="eastAsia" w:ascii="宋体" w:hAnsi="宋体" w:eastAsia="宋体" w:cs="宋体"/>
                <w:spacing w:val="-1"/>
                <w:lang w:eastAsia="zh-CN"/>
              </w:rPr>
              <w:t>振动试验；T.4为冲击试验；T.5为外部短路试验；T.6为撞击/挤压；T.7为过度充电；T.8为强制放电。</w:t>
            </w:r>
          </w:p>
          <w:p>
            <w:pPr>
              <w:pStyle w:val="20"/>
              <w:spacing w:before="97" w:line="222" w:lineRule="auto"/>
              <w:ind w:left="476"/>
              <w:rPr>
                <w:rFonts w:hint="eastAsia" w:ascii="宋体" w:hAnsi="宋体" w:eastAsia="宋体" w:cs="宋体"/>
                <w:lang w:eastAsia="zh-CN"/>
              </w:rPr>
            </w:pPr>
            <w:r>
              <w:rPr>
                <w:rFonts w:hint="eastAsia" w:ascii="宋体" w:hAnsi="宋体" w:eastAsia="宋体" w:cs="宋体"/>
                <w:spacing w:val="5"/>
                <w:lang w:eastAsia="zh-CN"/>
              </w:rPr>
              <w:t>注2：</w:t>
            </w:r>
            <w:r>
              <w:rPr>
                <w:rFonts w:hint="eastAsia" w:ascii="宋体" w:hAnsi="宋体" w:eastAsia="宋体" w:cs="宋体"/>
                <w:spacing w:val="-16"/>
                <w:lang w:eastAsia="zh-CN"/>
              </w:rPr>
              <w:t>＋</w:t>
            </w:r>
            <w:r>
              <w:rPr>
                <w:rFonts w:hint="eastAsia" w:ascii="宋体" w:hAnsi="宋体" w:eastAsia="宋体" w:cs="宋体"/>
                <w:spacing w:val="5"/>
                <w:lang w:eastAsia="zh-CN"/>
              </w:rPr>
              <w:t>为适用</w:t>
            </w:r>
            <w:r>
              <w:rPr>
                <w:rFonts w:hint="eastAsia" w:ascii="宋体" w:hAnsi="宋体" w:eastAsia="宋体" w:cs="宋体"/>
                <w:spacing w:val="-16"/>
                <w:lang w:eastAsia="zh-CN"/>
              </w:rPr>
              <w:t>，－</w:t>
            </w:r>
            <w:r>
              <w:rPr>
                <w:rFonts w:hint="eastAsia" w:ascii="宋体" w:hAnsi="宋体" w:eastAsia="宋体" w:cs="宋体"/>
                <w:spacing w:val="5"/>
                <w:lang w:eastAsia="zh-CN"/>
              </w:rPr>
              <w:t>为不适用。</w:t>
            </w:r>
          </w:p>
          <w:p>
            <w:pPr>
              <w:pStyle w:val="20"/>
              <w:spacing w:before="95" w:line="222" w:lineRule="auto"/>
              <w:ind w:left="476"/>
              <w:rPr>
                <w:rFonts w:hint="eastAsia" w:ascii="宋体" w:hAnsi="宋体" w:eastAsia="宋体" w:cs="宋体"/>
                <w:lang w:eastAsia="zh-CN"/>
              </w:rPr>
            </w:pPr>
            <w:r>
              <w:rPr>
                <w:rFonts w:hint="eastAsia" w:ascii="宋体" w:hAnsi="宋体" w:eastAsia="宋体" w:cs="宋体"/>
                <w:lang w:eastAsia="zh-CN"/>
              </w:rPr>
              <w:t>注3：根据联合国《试验和标准手册》（第八修订版</w:t>
            </w:r>
            <w:r>
              <w:rPr>
                <w:rFonts w:hint="eastAsia" w:ascii="宋体" w:hAnsi="宋体" w:eastAsia="宋体" w:cs="宋体"/>
                <w:spacing w:val="3"/>
                <w:lang w:eastAsia="zh-CN"/>
              </w:rPr>
              <w:t>），</w:t>
            </w:r>
            <w:r>
              <w:rPr>
                <w:rFonts w:hint="eastAsia" w:ascii="宋体" w:hAnsi="宋体" w:eastAsia="宋体" w:cs="宋体"/>
                <w:lang w:eastAsia="zh-CN"/>
              </w:rPr>
              <w:t>钠离</w:t>
            </w:r>
            <w:r>
              <w:rPr>
                <w:rFonts w:hint="eastAsia" w:ascii="宋体" w:hAnsi="宋体" w:eastAsia="宋体" w:cs="宋体"/>
                <w:spacing w:val="-1"/>
                <w:lang w:eastAsia="zh-CN"/>
              </w:rPr>
              <w:t>子电池无需进行T.8强制放电试验。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7" w:hRule="atLeast"/>
          <w:jc w:val="center"/>
        </w:trPr>
        <w:tc>
          <w:tcPr>
            <w:tcW w:w="9915" w:type="dxa"/>
            <w:gridSpan w:val="11"/>
          </w:tcPr>
          <w:p>
            <w:pPr>
              <w:pStyle w:val="20"/>
              <w:spacing w:before="69" w:line="297" w:lineRule="auto"/>
              <w:ind w:left="672" w:right="106" w:hanging="201"/>
              <w:rPr>
                <w:rFonts w:hint="eastAsia" w:ascii="宋体" w:hAnsi="宋体" w:eastAsia="宋体" w:cs="宋体"/>
                <w:lang w:eastAsia="zh-CN"/>
              </w:rPr>
            </w:pPr>
            <w:r>
              <w:rPr>
                <w:rFonts w:hint="eastAsia" w:ascii="宋体" w:hAnsi="宋体" w:eastAsia="宋体" w:cs="宋体"/>
                <w:spacing w:val="-2"/>
                <w:lang w:eastAsia="zh-CN"/>
              </w:rPr>
              <w:t>a由试验过的电池组组成的电池组组件锂含量大于500g时，无需进行T.1～T.8的试验，但应经验证可以防止过度充电、短路和电池组之间过度放电。</w:t>
            </w:r>
          </w:p>
          <w:p>
            <w:pPr>
              <w:pStyle w:val="20"/>
              <w:spacing w:before="46" w:line="283" w:lineRule="auto"/>
              <w:ind w:left="650" w:right="116" w:hanging="184"/>
              <w:rPr>
                <w:rFonts w:hint="eastAsia" w:ascii="宋体" w:hAnsi="宋体" w:eastAsia="宋体" w:cs="宋体"/>
                <w:lang w:eastAsia="zh-CN"/>
              </w:rPr>
            </w:pPr>
            <w:r>
              <w:rPr>
                <w:rFonts w:hint="eastAsia" w:ascii="宋体" w:hAnsi="宋体" w:eastAsia="宋体" w:cs="宋体"/>
                <w:spacing w:val="-1"/>
                <w:lang w:eastAsia="zh-CN"/>
              </w:rPr>
              <w:t>b由试验过的电池组组成的电池组组件额定能量大于6200Wh或锂含量大于500g时，无需进行T.1～T</w:t>
            </w:r>
            <w:r>
              <w:rPr>
                <w:rFonts w:hint="eastAsia" w:ascii="宋体" w:hAnsi="宋体" w:eastAsia="宋体" w:cs="宋体"/>
                <w:spacing w:val="-2"/>
                <w:lang w:eastAsia="zh-CN"/>
              </w:rPr>
              <w:t>.8的试验，但</w:t>
            </w:r>
            <w:r>
              <w:rPr>
                <w:rFonts w:hint="eastAsia" w:ascii="宋体" w:hAnsi="宋体" w:eastAsia="宋体" w:cs="宋体"/>
                <w:spacing w:val="-1"/>
                <w:lang w:eastAsia="zh-CN"/>
              </w:rPr>
              <w:t>应经验证可以防止过度充电、短路和电池组之间过度放电。</w:t>
            </w:r>
          </w:p>
        </w:tc>
      </w:tr>
    </w:tbl>
    <w:p>
      <w:pPr>
        <w:rPr>
          <w:rFonts w:hint="eastAsia" w:ascii="方正仿宋_GB2312" w:hAnsi="方正仿宋_GB2312" w:eastAsia="方正仿宋_GB2312" w:cs="方正仿宋_GB2312"/>
          <w:sz w:val="32"/>
          <w:szCs w:val="32"/>
        </w:rPr>
      </w:pPr>
    </w:p>
    <w:p>
      <w:pPr>
        <w:spacing w:line="167" w:lineRule="exact"/>
        <w:rPr>
          <w:rFonts w:hint="eastAsia"/>
        </w:rPr>
      </w:pPr>
    </w:p>
    <w:p>
      <w:pPr>
        <w:pStyle w:val="4"/>
        <w:jc w:val="center"/>
      </w:pPr>
    </w:p>
    <w:p>
      <w:pPr>
        <w:pStyle w:val="4"/>
        <w:jc w:val="center"/>
        <w:rPr>
          <w:rFonts w:eastAsia="宋体"/>
        </w:rPr>
      </w:pPr>
      <w:r>
        <w:t xml:space="preserve">表 </w:t>
      </w:r>
      <w:r>
        <w:fldChar w:fldCharType="begin"/>
      </w:r>
      <w:r>
        <w:instrText xml:space="preserve"> SEQ 表 \* ARABIC </w:instrText>
      </w:r>
      <w:r>
        <w:fldChar w:fldCharType="separate"/>
      </w:r>
      <w:r>
        <w:t>2</w:t>
      </w:r>
      <w:r>
        <w:fldChar w:fldCharType="end"/>
      </w:r>
      <w:r>
        <w:rPr>
          <w:rFonts w:hint="eastAsia"/>
        </w:rPr>
        <w:t>锂电池试验摘要（范例）</w:t>
      </w:r>
    </w:p>
    <w:tbl>
      <w:tblPr>
        <w:tblStyle w:val="19"/>
        <w:tblW w:w="10051" w:type="dxa"/>
        <w:tblInd w:w="-7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6"/>
        <w:gridCol w:w="583"/>
        <w:gridCol w:w="879"/>
        <w:gridCol w:w="547"/>
        <w:gridCol w:w="346"/>
        <w:gridCol w:w="51"/>
        <w:gridCol w:w="570"/>
        <w:gridCol w:w="239"/>
        <w:gridCol w:w="164"/>
        <w:gridCol w:w="78"/>
        <w:gridCol w:w="198"/>
        <w:gridCol w:w="156"/>
        <w:gridCol w:w="61"/>
        <w:gridCol w:w="122"/>
        <w:gridCol w:w="51"/>
        <w:gridCol w:w="253"/>
        <w:gridCol w:w="473"/>
        <w:gridCol w:w="100"/>
        <w:gridCol w:w="48"/>
        <w:gridCol w:w="486"/>
        <w:gridCol w:w="77"/>
        <w:gridCol w:w="937"/>
        <w:gridCol w:w="474"/>
        <w:gridCol w:w="427"/>
        <w:gridCol w:w="15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9" w:hRule="atLeast"/>
        </w:trPr>
        <w:tc>
          <w:tcPr>
            <w:tcW w:w="10051" w:type="dxa"/>
            <w:gridSpan w:val="25"/>
            <w:shd w:val="clear" w:color="auto" w:fill="E7E6E6"/>
          </w:tcPr>
          <w:p>
            <w:pPr>
              <w:pStyle w:val="20"/>
              <w:spacing w:before="74" w:line="210" w:lineRule="auto"/>
              <w:ind w:left="116"/>
              <w:rPr>
                <w:rFonts w:hint="eastAsia"/>
              </w:rPr>
            </w:pPr>
            <w:r>
              <w:rPr>
                <w:rFonts w:ascii="宋体" w:hAnsi="宋体" w:eastAsia="宋体" w:cs="宋体"/>
                <w:b/>
                <w:bCs/>
                <w:spacing w:val="-1"/>
              </w:rPr>
              <w:t>单体电池</w:t>
            </w:r>
            <w:r>
              <w:rPr>
                <w:b/>
                <w:bCs/>
                <w:spacing w:val="-1"/>
              </w:rPr>
              <w:t>/</w:t>
            </w:r>
            <w:r>
              <w:rPr>
                <w:rFonts w:ascii="宋体" w:hAnsi="宋体" w:eastAsia="宋体" w:cs="宋体"/>
                <w:b/>
                <w:bCs/>
                <w:spacing w:val="-1"/>
              </w:rPr>
              <w:t>电池组信息</w:t>
            </w:r>
            <w:r>
              <w:rPr>
                <w:rFonts w:ascii="宋体" w:hAnsi="宋体" w:eastAsia="宋体" w:cs="宋体"/>
                <w:spacing w:val="-34"/>
              </w:rPr>
              <w:t xml:space="preserve"> </w:t>
            </w:r>
            <w:r>
              <w:rPr>
                <w:b/>
                <w:bCs/>
                <w:spacing w:val="-1"/>
              </w:rPr>
              <w:t>Cell or Battery Information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2648" w:type="dxa"/>
            <w:gridSpan w:val="3"/>
          </w:tcPr>
          <w:p>
            <w:pPr>
              <w:pStyle w:val="20"/>
              <w:spacing w:before="54" w:line="205" w:lineRule="auto"/>
              <w:ind w:left="117"/>
              <w:rPr>
                <w:rFonts w:hint="eastAsia"/>
              </w:rPr>
            </w:pPr>
            <w:r>
              <w:rPr>
                <w:rFonts w:ascii="宋体" w:hAnsi="宋体" w:eastAsia="宋体" w:cs="宋体"/>
                <w:spacing w:val="-2"/>
              </w:rPr>
              <w:t>名称</w:t>
            </w:r>
            <w:r>
              <w:rPr>
                <w:rFonts w:ascii="宋体" w:hAnsi="宋体" w:eastAsia="宋体" w:cs="宋体"/>
                <w:spacing w:val="-44"/>
              </w:rPr>
              <w:t xml:space="preserve"> </w:t>
            </w:r>
            <w:r>
              <w:rPr>
                <w:spacing w:val="-2"/>
              </w:rPr>
              <w:t>Name</w:t>
            </w:r>
          </w:p>
        </w:tc>
        <w:tc>
          <w:tcPr>
            <w:tcW w:w="4957" w:type="dxa"/>
            <w:gridSpan w:val="19"/>
          </w:tcPr>
          <w:p>
            <w:pPr>
              <w:jc w:val="left"/>
              <w:rPr>
                <w:rFonts w:ascii="Arial" w:hAnsi="Arial" w:cs="Arial"/>
              </w:rPr>
            </w:pPr>
          </w:p>
        </w:tc>
        <w:tc>
          <w:tcPr>
            <w:tcW w:w="2446" w:type="dxa"/>
            <w:gridSpan w:val="3"/>
            <w:vMerge w:val="restart"/>
            <w:tcBorders>
              <w:bottom w:val="nil"/>
            </w:tcBorders>
          </w:tcPr>
          <w:p>
            <w:pPr>
              <w:pStyle w:val="20"/>
              <w:spacing w:before="54" w:line="270" w:lineRule="auto"/>
              <w:ind w:left="113" w:right="107" w:firstLine="1"/>
              <w:rPr>
                <w:rFonts w:hint="eastAsia" w:ascii="宋体" w:hAnsi="宋体" w:eastAsia="宋体" w:cs="宋体"/>
              </w:rPr>
            </w:pPr>
            <w:r>
              <w:rPr>
                <w:rFonts w:ascii="宋体" w:hAnsi="宋体" w:eastAsia="宋体" w:cs="宋体"/>
                <w:spacing w:val="-2"/>
              </w:rPr>
              <w:t>其他相关描述（尺寸、外观等）</w:t>
            </w:r>
            <w:r>
              <w:rPr>
                <w:rFonts w:ascii="宋体" w:hAnsi="宋体" w:eastAsia="宋体" w:cs="宋体"/>
                <w:spacing w:val="7"/>
              </w:rPr>
              <w:t xml:space="preserve"> </w:t>
            </w:r>
            <w:r>
              <w:rPr>
                <w:spacing w:val="-1"/>
              </w:rPr>
              <w:t>Other</w:t>
            </w:r>
            <w:r>
              <w:rPr>
                <w:rFonts w:hint="eastAsia"/>
                <w:spacing w:val="-1"/>
                <w:lang w:eastAsia="zh-CN"/>
              </w:rPr>
              <w:t xml:space="preserve"> </w:t>
            </w:r>
            <w:r>
              <w:rPr>
                <w:spacing w:val="-1"/>
              </w:rPr>
              <w:t>Physical</w:t>
            </w:r>
            <w:r>
              <w:rPr>
                <w:spacing w:val="3"/>
              </w:rPr>
              <w:t xml:space="preserve">    </w:t>
            </w:r>
            <w:r>
              <w:rPr>
                <w:spacing w:val="-1"/>
              </w:rPr>
              <w:t>Description</w:t>
            </w:r>
            <w:r>
              <w:rPr>
                <w:spacing w:val="6"/>
              </w:rPr>
              <w:t xml:space="preserve"> </w:t>
            </w:r>
            <w:r>
              <w:rPr>
                <w:rFonts w:ascii="宋体" w:hAnsi="宋体" w:eastAsia="宋体" w:cs="宋体"/>
                <w:spacing w:val="-2"/>
              </w:rPr>
              <w:t>（</w:t>
            </w:r>
            <w:r>
              <w:rPr>
                <w:spacing w:val="-2"/>
              </w:rPr>
              <w:t>dimensions</w:t>
            </w:r>
            <w:r>
              <w:rPr>
                <w:spacing w:val="-25"/>
              </w:rPr>
              <w:t xml:space="preserve"> </w:t>
            </w:r>
            <w:r>
              <w:rPr>
                <w:rFonts w:ascii="宋体" w:hAnsi="宋体" w:eastAsia="宋体" w:cs="宋体"/>
                <w:spacing w:val="-2"/>
              </w:rPr>
              <w:t>，</w:t>
            </w:r>
            <w:r>
              <w:rPr>
                <w:spacing w:val="-2"/>
              </w:rPr>
              <w:t>appearance</w:t>
            </w:r>
            <w:r>
              <w:rPr>
                <w:rFonts w:ascii="宋体" w:hAnsi="宋体" w:eastAsia="宋体" w:cs="宋体"/>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2" w:hRule="atLeast"/>
        </w:trPr>
        <w:tc>
          <w:tcPr>
            <w:tcW w:w="2648" w:type="dxa"/>
            <w:gridSpan w:val="3"/>
          </w:tcPr>
          <w:p>
            <w:pPr>
              <w:pStyle w:val="20"/>
              <w:spacing w:before="85" w:line="212" w:lineRule="auto"/>
              <w:ind w:left="120"/>
              <w:rPr>
                <w:rFonts w:hint="eastAsia"/>
              </w:rPr>
            </w:pPr>
            <w:r>
              <w:rPr>
                <w:rFonts w:ascii="宋体" w:hAnsi="宋体" w:eastAsia="宋体" w:cs="宋体"/>
                <w:spacing w:val="-3"/>
              </w:rPr>
              <w:t>型号规格</w:t>
            </w:r>
            <w:r>
              <w:rPr>
                <w:rFonts w:ascii="宋体" w:hAnsi="宋体" w:eastAsia="宋体" w:cs="宋体"/>
                <w:spacing w:val="-30"/>
              </w:rPr>
              <w:t xml:space="preserve"> </w:t>
            </w:r>
            <w:r>
              <w:rPr>
                <w:spacing w:val="-3"/>
              </w:rPr>
              <w:t>Type/Model</w:t>
            </w:r>
          </w:p>
        </w:tc>
        <w:tc>
          <w:tcPr>
            <w:tcW w:w="4957" w:type="dxa"/>
            <w:gridSpan w:val="19"/>
          </w:tcPr>
          <w:p>
            <w:pPr>
              <w:jc w:val="left"/>
              <w:rPr>
                <w:rFonts w:ascii="Arial" w:hAnsi="Arial" w:cs="Arial"/>
              </w:rPr>
            </w:pPr>
          </w:p>
        </w:tc>
        <w:tc>
          <w:tcPr>
            <w:tcW w:w="2446" w:type="dxa"/>
            <w:gridSpan w:val="3"/>
            <w:vMerge w:val="continue"/>
            <w:tcBorders>
              <w:top w:val="nil"/>
              <w:bottom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2648" w:type="dxa"/>
            <w:gridSpan w:val="3"/>
          </w:tcPr>
          <w:p>
            <w:pPr>
              <w:pStyle w:val="20"/>
              <w:spacing w:before="58" w:line="201" w:lineRule="auto"/>
              <w:ind w:left="117"/>
              <w:rPr>
                <w:rFonts w:hint="eastAsia"/>
              </w:rPr>
            </w:pPr>
            <w:r>
              <w:rPr>
                <w:rFonts w:ascii="宋体" w:hAnsi="宋体" w:eastAsia="宋体" w:cs="宋体"/>
                <w:spacing w:val="-3"/>
              </w:rPr>
              <w:t>形状</w:t>
            </w:r>
            <w:r>
              <w:rPr>
                <w:rFonts w:ascii="宋体" w:hAnsi="宋体" w:eastAsia="宋体" w:cs="宋体"/>
                <w:spacing w:val="-34"/>
              </w:rPr>
              <w:t xml:space="preserve"> </w:t>
            </w:r>
            <w:r>
              <w:rPr>
                <w:spacing w:val="-3"/>
              </w:rPr>
              <w:t>Shape</w:t>
            </w:r>
          </w:p>
        </w:tc>
        <w:tc>
          <w:tcPr>
            <w:tcW w:w="4957" w:type="dxa"/>
            <w:gridSpan w:val="19"/>
          </w:tcPr>
          <w:p>
            <w:pPr>
              <w:jc w:val="left"/>
              <w:rPr>
                <w:rFonts w:ascii="Arial" w:hAnsi="Arial" w:cs="Arial"/>
              </w:rPr>
            </w:pPr>
          </w:p>
        </w:tc>
        <w:tc>
          <w:tcPr>
            <w:tcW w:w="2446" w:type="dxa"/>
            <w:gridSpan w:val="3"/>
            <w:vMerge w:val="continue"/>
            <w:tcBorders>
              <w:top w:val="nil"/>
              <w:bottom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4" w:hRule="atLeast"/>
        </w:trPr>
        <w:tc>
          <w:tcPr>
            <w:tcW w:w="3592" w:type="dxa"/>
            <w:gridSpan w:val="6"/>
          </w:tcPr>
          <w:p>
            <w:pPr>
              <w:pStyle w:val="20"/>
              <w:spacing w:before="58" w:line="248" w:lineRule="auto"/>
              <w:ind w:left="114" w:right="103" w:firstLine="1"/>
              <w:rPr>
                <w:rFonts w:hint="eastAsia"/>
              </w:rPr>
            </w:pPr>
            <w:r>
              <w:rPr>
                <w:rFonts w:ascii="宋体" w:hAnsi="宋体" w:eastAsia="宋体" w:cs="宋体"/>
                <w:spacing w:val="-11"/>
              </w:rPr>
              <w:t>单</w:t>
            </w:r>
            <w:r>
              <w:rPr>
                <w:rFonts w:ascii="宋体" w:hAnsi="宋体" w:eastAsia="宋体" w:cs="宋体"/>
                <w:spacing w:val="-24"/>
              </w:rPr>
              <w:t xml:space="preserve"> </w:t>
            </w:r>
            <w:r>
              <w:rPr>
                <w:rFonts w:ascii="宋体" w:hAnsi="宋体" w:eastAsia="宋体" w:cs="宋体"/>
                <w:spacing w:val="-11"/>
              </w:rPr>
              <w:t>体 电</w:t>
            </w:r>
            <w:r>
              <w:rPr>
                <w:rFonts w:ascii="宋体" w:hAnsi="宋体" w:eastAsia="宋体" w:cs="宋体"/>
                <w:spacing w:val="-33"/>
              </w:rPr>
              <w:t xml:space="preserve"> </w:t>
            </w:r>
            <w:r>
              <w:rPr>
                <w:rFonts w:ascii="宋体" w:hAnsi="宋体" w:eastAsia="宋体" w:cs="宋体"/>
                <w:spacing w:val="-11"/>
              </w:rPr>
              <w:t>池</w:t>
            </w:r>
            <w:r>
              <w:rPr>
                <w:rFonts w:ascii="宋体" w:hAnsi="宋体" w:eastAsia="宋体" w:cs="宋体"/>
                <w:spacing w:val="-39"/>
              </w:rPr>
              <w:t xml:space="preserve"> </w:t>
            </w:r>
            <w:r>
              <w:rPr>
                <w:spacing w:val="-11"/>
              </w:rPr>
              <w:t>/</w:t>
            </w:r>
            <w:r>
              <w:rPr>
                <w:spacing w:val="33"/>
                <w:w w:val="101"/>
              </w:rPr>
              <w:t xml:space="preserve"> </w:t>
            </w:r>
            <w:r>
              <w:rPr>
                <w:rFonts w:ascii="宋体" w:hAnsi="宋体" w:eastAsia="宋体" w:cs="宋体"/>
                <w:spacing w:val="-11"/>
              </w:rPr>
              <w:t>电</w:t>
            </w:r>
            <w:r>
              <w:rPr>
                <w:rFonts w:ascii="宋体" w:hAnsi="宋体" w:eastAsia="宋体" w:cs="宋体"/>
                <w:spacing w:val="-33"/>
              </w:rPr>
              <w:t xml:space="preserve"> </w:t>
            </w:r>
            <w:r>
              <w:rPr>
                <w:rFonts w:ascii="宋体" w:hAnsi="宋体" w:eastAsia="宋体" w:cs="宋体"/>
                <w:spacing w:val="-11"/>
              </w:rPr>
              <w:t>池</w:t>
            </w:r>
            <w:r>
              <w:rPr>
                <w:rFonts w:ascii="宋体" w:hAnsi="宋体" w:eastAsia="宋体" w:cs="宋体"/>
                <w:spacing w:val="-28"/>
              </w:rPr>
              <w:t xml:space="preserve"> </w:t>
            </w:r>
            <w:r>
              <w:rPr>
                <w:rFonts w:ascii="宋体" w:hAnsi="宋体" w:eastAsia="宋体" w:cs="宋体"/>
                <w:spacing w:val="-11"/>
              </w:rPr>
              <w:t>组</w:t>
            </w:r>
            <w:r>
              <w:rPr>
                <w:rFonts w:ascii="宋体" w:hAnsi="宋体" w:eastAsia="宋体" w:cs="宋体"/>
                <w:spacing w:val="-32"/>
              </w:rPr>
              <w:t xml:space="preserve"> </w:t>
            </w:r>
            <w:r>
              <w:rPr>
                <w:rFonts w:ascii="宋体" w:hAnsi="宋体" w:eastAsia="宋体" w:cs="宋体"/>
                <w:spacing w:val="-11"/>
              </w:rPr>
              <w:t>整</w:t>
            </w:r>
            <w:r>
              <w:rPr>
                <w:rFonts w:ascii="宋体" w:hAnsi="宋体" w:eastAsia="宋体" w:cs="宋体"/>
                <w:spacing w:val="-32"/>
              </w:rPr>
              <w:t xml:space="preserve"> </w:t>
            </w:r>
            <w:r>
              <w:rPr>
                <w:rFonts w:ascii="宋体" w:hAnsi="宋体" w:eastAsia="宋体" w:cs="宋体"/>
                <w:spacing w:val="-11"/>
              </w:rPr>
              <w:t>体</w:t>
            </w:r>
            <w:r>
              <w:rPr>
                <w:rFonts w:ascii="宋体" w:hAnsi="宋体" w:eastAsia="宋体" w:cs="宋体"/>
                <w:spacing w:val="-30"/>
              </w:rPr>
              <w:t xml:space="preserve"> </w:t>
            </w:r>
            <w:r>
              <w:rPr>
                <w:rFonts w:ascii="宋体" w:hAnsi="宋体" w:eastAsia="宋体" w:cs="宋体"/>
                <w:spacing w:val="-11"/>
              </w:rPr>
              <w:t>质</w:t>
            </w:r>
            <w:r>
              <w:rPr>
                <w:rFonts w:ascii="宋体" w:hAnsi="宋体" w:eastAsia="宋体" w:cs="宋体"/>
                <w:spacing w:val="-30"/>
              </w:rPr>
              <w:t xml:space="preserve"> </w:t>
            </w:r>
            <w:r>
              <w:rPr>
                <w:rFonts w:ascii="宋体" w:hAnsi="宋体" w:eastAsia="宋体" w:cs="宋体"/>
                <w:spacing w:val="-11"/>
              </w:rPr>
              <w:t>量</w:t>
            </w:r>
            <w:r>
              <w:rPr>
                <w:rFonts w:ascii="宋体" w:hAnsi="宋体" w:eastAsia="宋体" w:cs="宋体"/>
              </w:rPr>
              <w:t xml:space="preserve"> </w:t>
            </w:r>
            <w:r>
              <w:t>Completed Battery/C</w:t>
            </w:r>
            <w:r>
              <w:rPr>
                <w:spacing w:val="-1"/>
              </w:rPr>
              <w:t>ell Mass</w:t>
            </w:r>
          </w:p>
        </w:tc>
        <w:tc>
          <w:tcPr>
            <w:tcW w:w="4013" w:type="dxa"/>
            <w:gridSpan w:val="16"/>
          </w:tcPr>
          <w:p>
            <w:pPr>
              <w:jc w:val="left"/>
              <w:rPr>
                <w:rFonts w:ascii="Arial" w:hAnsi="Arial" w:cs="Arial"/>
              </w:rPr>
            </w:pPr>
          </w:p>
        </w:tc>
        <w:tc>
          <w:tcPr>
            <w:tcW w:w="2446" w:type="dxa"/>
            <w:gridSpan w:val="3"/>
            <w:vMerge w:val="continue"/>
            <w:tcBorders>
              <w:top w:val="nil"/>
              <w:bottom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6" w:hRule="atLeast"/>
        </w:trPr>
        <w:tc>
          <w:tcPr>
            <w:tcW w:w="1186" w:type="dxa"/>
            <w:tcBorders>
              <w:bottom w:val="nil"/>
            </w:tcBorders>
          </w:tcPr>
          <w:p>
            <w:pPr>
              <w:spacing w:line="175" w:lineRule="exact"/>
              <w:jc w:val="left"/>
              <w:rPr>
                <w:rFonts w:ascii="Arial" w:hAnsi="Arial" w:cs="Arial"/>
                <w:sz w:val="15"/>
              </w:rPr>
            </w:pPr>
          </w:p>
        </w:tc>
        <w:tc>
          <w:tcPr>
            <w:tcW w:w="4919" w:type="dxa"/>
            <w:gridSpan w:val="18"/>
            <w:vMerge w:val="restart"/>
            <w:tcBorders>
              <w:bottom w:val="nil"/>
            </w:tcBorders>
          </w:tcPr>
          <w:p>
            <w:pPr>
              <w:pStyle w:val="20"/>
              <w:spacing w:before="59" w:line="219" w:lineRule="auto"/>
              <w:ind w:left="124"/>
              <w:rPr>
                <w:rFonts w:hint="eastAsia" w:ascii="宋体" w:hAnsi="宋体" w:eastAsia="宋体" w:cs="宋体"/>
                <w:lang w:eastAsia="zh-CN"/>
              </w:rPr>
            </w:pPr>
            <w:r>
              <w:rPr>
                <w:rFonts w:ascii="宋体" w:hAnsi="宋体" w:eastAsia="宋体" w:cs="宋体"/>
                <w:spacing w:val="-1"/>
                <w:lang w:eastAsia="zh-CN"/>
              </w:rPr>
              <w:t>属于锂离子单体电池</w:t>
            </w:r>
            <w:r>
              <w:rPr>
                <w:spacing w:val="-1"/>
                <w:lang w:eastAsia="zh-CN"/>
              </w:rPr>
              <w:t>/</w:t>
            </w:r>
            <w:r>
              <w:rPr>
                <w:rFonts w:ascii="宋体" w:hAnsi="宋体" w:eastAsia="宋体" w:cs="宋体"/>
                <w:spacing w:val="-1"/>
                <w:lang w:eastAsia="zh-CN"/>
              </w:rPr>
              <w:t>电池组， 瓦时数为</w:t>
            </w:r>
          </w:p>
          <w:p>
            <w:pPr>
              <w:pStyle w:val="20"/>
              <w:spacing w:before="73" w:line="192" w:lineRule="auto"/>
              <w:ind w:left="119"/>
              <w:rPr>
                <w:rFonts w:hint="eastAsia"/>
              </w:rPr>
            </w:pPr>
            <w:r>
              <w:t>Belongs to Lithium-ion Cell/Batter</w:t>
            </w:r>
            <w:r>
              <w:rPr>
                <w:spacing w:val="-1"/>
              </w:rPr>
              <w:t>y, the Wh rating is</w:t>
            </w:r>
          </w:p>
        </w:tc>
        <w:tc>
          <w:tcPr>
            <w:tcW w:w="1500" w:type="dxa"/>
            <w:gridSpan w:val="3"/>
            <w:vMerge w:val="restart"/>
            <w:tcBorders>
              <w:bottom w:val="nil"/>
            </w:tcBorders>
          </w:tcPr>
          <w:p>
            <w:pPr>
              <w:jc w:val="left"/>
              <w:rPr>
                <w:rFonts w:ascii="Arial" w:hAnsi="Arial" w:cs="Arial"/>
              </w:rPr>
            </w:pPr>
          </w:p>
        </w:tc>
        <w:tc>
          <w:tcPr>
            <w:tcW w:w="2446" w:type="dxa"/>
            <w:gridSpan w:val="3"/>
            <w:vMerge w:val="continue"/>
            <w:tcBorders>
              <w:top w:val="nil"/>
              <w:bottom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4" w:hRule="atLeast"/>
        </w:trPr>
        <w:tc>
          <w:tcPr>
            <w:tcW w:w="1186" w:type="dxa"/>
            <w:tcBorders>
              <w:top w:val="nil"/>
              <w:bottom w:val="nil"/>
            </w:tcBorders>
          </w:tcPr>
          <w:p>
            <w:pPr>
              <w:spacing w:before="5" w:line="149" w:lineRule="exact"/>
              <w:ind w:firstLine="125"/>
              <w:jc w:val="left"/>
              <w:rPr>
                <w:rFonts w:ascii="Arial" w:hAnsi="Arial" w:cs="Arial"/>
              </w:rPr>
            </w:pPr>
            <w:r>
              <w:rPr>
                <w:rFonts w:ascii="Arial" w:hAnsi="Arial" w:cs="Arial"/>
                <w:position w:val="-4"/>
              </w:rPr>
              <mc:AlternateContent>
                <mc:Choice Requires="wps">
                  <w:drawing>
                    <wp:inline distT="0" distB="0" distL="114300" distR="114300">
                      <wp:extent cx="104140" cy="104775"/>
                      <wp:effectExtent l="6350" t="6350" r="16510" b="15875"/>
                      <wp:docPr id="215" name="任意多边形 215"/>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63" h="165">
                                    <a:moveTo>
                                      <a:pt x="163" y="0"/>
                                    </a:moveTo>
                                    <a:lnTo>
                                      <a:pt x="163" y="164"/>
                                    </a:lnTo>
                                    <a:moveTo>
                                      <a:pt x="0" y="164"/>
                                    </a:moveTo>
                                    <a:lnTo>
                                      <a:pt x="0" y="0"/>
                                    </a:lnTo>
                                  </a:path>
                                </a:pathLst>
                              </a:custGeom>
                              <a:noFill/>
                              <a:ln w="0" cap="sq" cmpd="sng">
                                <a:solidFill>
                                  <a:srgbClr val="000000"/>
                                </a:solidFill>
                                <a:prstDash val="solid"/>
                                <a:bevel/>
                                <a:headEnd type="none" w="med" len="med"/>
                                <a:tailEnd type="none" w="med" len="med"/>
                              </a:ln>
                            </wps:spPr>
                            <wps:bodyPr upright="1"/>
                          </wps:wsp>
                        </a:graphicData>
                      </a:graphic>
                    </wp:inline>
                  </w:drawing>
                </mc:Choice>
                <mc:Fallback>
                  <w:pict>
                    <v:shape id="_x0000_s1026" o:spid="_x0000_s1026" o:spt="100" style="height:8.25pt;width:8.2pt;" filled="f" stroked="t" coordsize="163,165" o:gfxdata="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uj1nzgAAAAMBAAAPAAAAAAAAAAEAIAAAACIAAABkcnMvZG93bnJldi54bWxQSwEC&#10;FAAUAAAACACHTuJAujk7VDcCAAC6BAAADgAAAAAAAAABACAAAAAdAQAAZHJzL2Uyb0RvYy54bWxQ&#10;SwUGAAAAAAYABgBZAQAAxgUAAAAA&#10;" path="m163,0l163,164m0,164l0,0e">
                      <v:fill on="f" focussize="0,0"/>
                      <v:stroke weight="0pt" color="#000000" joinstyle="bevel" endcap="square"/>
                      <v:imagedata o:title=""/>
                      <o:lock v:ext="edit" aspectratio="f"/>
                      <w10:wrap type="none"/>
                      <w10:anchorlock/>
                    </v:shape>
                  </w:pict>
                </mc:Fallback>
              </mc:AlternateContent>
            </w:r>
          </w:p>
        </w:tc>
        <w:tc>
          <w:tcPr>
            <w:tcW w:w="4919" w:type="dxa"/>
            <w:gridSpan w:val="18"/>
            <w:vMerge w:val="continue"/>
            <w:tcBorders>
              <w:top w:val="nil"/>
              <w:bottom w:val="nil"/>
            </w:tcBorders>
          </w:tcPr>
          <w:p>
            <w:pPr>
              <w:jc w:val="left"/>
              <w:rPr>
                <w:rFonts w:ascii="Arial" w:hAnsi="Arial" w:cs="Arial"/>
              </w:rPr>
            </w:pPr>
          </w:p>
        </w:tc>
        <w:tc>
          <w:tcPr>
            <w:tcW w:w="1500" w:type="dxa"/>
            <w:gridSpan w:val="3"/>
            <w:vMerge w:val="continue"/>
            <w:tcBorders>
              <w:top w:val="nil"/>
              <w:bottom w:val="nil"/>
            </w:tcBorders>
          </w:tcPr>
          <w:p>
            <w:pPr>
              <w:jc w:val="left"/>
              <w:rPr>
                <w:rFonts w:ascii="Arial" w:hAnsi="Arial" w:cs="Arial"/>
              </w:rPr>
            </w:pPr>
          </w:p>
        </w:tc>
        <w:tc>
          <w:tcPr>
            <w:tcW w:w="2446" w:type="dxa"/>
            <w:gridSpan w:val="3"/>
            <w:vMerge w:val="continue"/>
            <w:tcBorders>
              <w:top w:val="nil"/>
              <w:bottom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75" w:hRule="atLeast"/>
        </w:trPr>
        <w:tc>
          <w:tcPr>
            <w:tcW w:w="1186" w:type="dxa"/>
            <w:tcBorders>
              <w:top w:val="nil"/>
            </w:tcBorders>
          </w:tcPr>
          <w:p>
            <w:pPr>
              <w:spacing w:line="165" w:lineRule="exact"/>
              <w:jc w:val="left"/>
              <w:rPr>
                <w:rFonts w:ascii="Arial" w:hAnsi="Arial" w:cs="Arial"/>
                <w:sz w:val="14"/>
              </w:rPr>
            </w:pPr>
          </w:p>
        </w:tc>
        <w:tc>
          <w:tcPr>
            <w:tcW w:w="4919" w:type="dxa"/>
            <w:gridSpan w:val="18"/>
            <w:vMerge w:val="continue"/>
            <w:tcBorders>
              <w:top w:val="nil"/>
            </w:tcBorders>
          </w:tcPr>
          <w:p>
            <w:pPr>
              <w:jc w:val="left"/>
              <w:rPr>
                <w:rFonts w:ascii="Arial" w:hAnsi="Arial" w:cs="Arial"/>
              </w:rPr>
            </w:pPr>
          </w:p>
        </w:tc>
        <w:tc>
          <w:tcPr>
            <w:tcW w:w="1500" w:type="dxa"/>
            <w:gridSpan w:val="3"/>
            <w:vMerge w:val="continue"/>
            <w:tcBorders>
              <w:top w:val="nil"/>
            </w:tcBorders>
          </w:tcPr>
          <w:p>
            <w:pPr>
              <w:jc w:val="left"/>
              <w:rPr>
                <w:rFonts w:ascii="Arial" w:hAnsi="Arial" w:cs="Arial"/>
              </w:rPr>
            </w:pPr>
          </w:p>
        </w:tc>
        <w:tc>
          <w:tcPr>
            <w:tcW w:w="2446" w:type="dxa"/>
            <w:gridSpan w:val="3"/>
            <w:vMerge w:val="continue"/>
            <w:tcBorders>
              <w:top w:val="nil"/>
              <w:bottom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6" w:hRule="atLeast"/>
        </w:trPr>
        <w:tc>
          <w:tcPr>
            <w:tcW w:w="1186" w:type="dxa"/>
            <w:tcBorders>
              <w:bottom w:val="nil"/>
            </w:tcBorders>
          </w:tcPr>
          <w:p>
            <w:pPr>
              <w:spacing w:line="175" w:lineRule="exact"/>
              <w:jc w:val="left"/>
              <w:rPr>
                <w:rFonts w:ascii="Arial" w:hAnsi="Arial" w:cs="Arial"/>
                <w:sz w:val="15"/>
              </w:rPr>
            </w:pPr>
          </w:p>
        </w:tc>
        <w:tc>
          <w:tcPr>
            <w:tcW w:w="4919" w:type="dxa"/>
            <w:gridSpan w:val="18"/>
            <w:vMerge w:val="restart"/>
            <w:tcBorders>
              <w:bottom w:val="nil"/>
            </w:tcBorders>
          </w:tcPr>
          <w:p>
            <w:pPr>
              <w:pStyle w:val="20"/>
              <w:spacing w:before="60" w:line="219" w:lineRule="auto"/>
              <w:ind w:left="112"/>
              <w:rPr>
                <w:rFonts w:hint="eastAsia" w:ascii="宋体" w:hAnsi="宋体" w:eastAsia="宋体" w:cs="宋体"/>
                <w:lang w:eastAsia="zh-CN"/>
              </w:rPr>
            </w:pPr>
            <w:r>
              <w:rPr>
                <w:rFonts w:ascii="宋体" w:hAnsi="宋体" w:eastAsia="宋体" w:cs="宋体"/>
                <w:spacing w:val="-1"/>
                <w:lang w:eastAsia="zh-CN"/>
              </w:rPr>
              <w:t>属于锂金属单体电池</w:t>
            </w:r>
            <w:r>
              <w:rPr>
                <w:spacing w:val="-1"/>
                <w:lang w:eastAsia="zh-CN"/>
              </w:rPr>
              <w:t>/</w:t>
            </w:r>
            <w:r>
              <w:rPr>
                <w:rFonts w:ascii="宋体" w:hAnsi="宋体" w:eastAsia="宋体" w:cs="宋体"/>
                <w:spacing w:val="-1"/>
                <w:lang w:eastAsia="zh-CN"/>
              </w:rPr>
              <w:t>电池组， 锂金属含量为</w:t>
            </w:r>
          </w:p>
          <w:p>
            <w:pPr>
              <w:pStyle w:val="20"/>
              <w:spacing w:before="73" w:line="192" w:lineRule="auto"/>
              <w:ind w:left="107"/>
              <w:rPr>
                <w:rFonts w:hint="eastAsia"/>
              </w:rPr>
            </w:pPr>
            <w:r>
              <w:t>Belongs to Lithium metal Cell/Battery, the Li</w:t>
            </w:r>
            <w:r>
              <w:rPr>
                <w:spacing w:val="-1"/>
              </w:rPr>
              <w:t>thium content is</w:t>
            </w:r>
          </w:p>
        </w:tc>
        <w:tc>
          <w:tcPr>
            <w:tcW w:w="1500" w:type="dxa"/>
            <w:gridSpan w:val="3"/>
            <w:vMerge w:val="restart"/>
            <w:tcBorders>
              <w:bottom w:val="nil"/>
            </w:tcBorders>
          </w:tcPr>
          <w:p>
            <w:pPr>
              <w:jc w:val="left"/>
              <w:rPr>
                <w:rFonts w:ascii="Arial" w:hAnsi="Arial" w:cs="Arial"/>
              </w:rPr>
            </w:pPr>
          </w:p>
        </w:tc>
        <w:tc>
          <w:tcPr>
            <w:tcW w:w="2446" w:type="dxa"/>
            <w:gridSpan w:val="3"/>
            <w:vMerge w:val="continue"/>
            <w:tcBorders>
              <w:top w:val="nil"/>
              <w:bottom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4" w:hRule="atLeast"/>
        </w:trPr>
        <w:tc>
          <w:tcPr>
            <w:tcW w:w="1186" w:type="dxa"/>
            <w:tcBorders>
              <w:top w:val="nil"/>
              <w:bottom w:val="nil"/>
            </w:tcBorders>
          </w:tcPr>
          <w:p>
            <w:pPr>
              <w:spacing w:before="5" w:line="149" w:lineRule="exact"/>
              <w:ind w:firstLine="125"/>
              <w:jc w:val="left"/>
              <w:rPr>
                <w:rFonts w:ascii="Arial" w:hAnsi="Arial" w:cs="Arial"/>
              </w:rPr>
            </w:pPr>
            <w:r>
              <w:rPr>
                <w:rFonts w:ascii="Arial" w:hAnsi="Arial" w:cs="Arial"/>
                <w:position w:val="-4"/>
              </w:rPr>
              <mc:AlternateContent>
                <mc:Choice Requires="wps">
                  <w:drawing>
                    <wp:inline distT="0" distB="0" distL="114300" distR="114300">
                      <wp:extent cx="104140" cy="104775"/>
                      <wp:effectExtent l="6350" t="6350" r="16510" b="15875"/>
                      <wp:docPr id="210" name="任意多边形 210"/>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63" h="165">
                                    <a:moveTo>
                                      <a:pt x="163" y="0"/>
                                    </a:moveTo>
                                    <a:lnTo>
                                      <a:pt x="163" y="164"/>
                                    </a:lnTo>
                                    <a:moveTo>
                                      <a:pt x="0" y="164"/>
                                    </a:moveTo>
                                    <a:lnTo>
                                      <a:pt x="0" y="0"/>
                                    </a:lnTo>
                                  </a:path>
                                </a:pathLst>
                              </a:custGeom>
                              <a:noFill/>
                              <a:ln w="0" cap="sq" cmpd="sng">
                                <a:solidFill>
                                  <a:srgbClr val="000000"/>
                                </a:solidFill>
                                <a:prstDash val="solid"/>
                                <a:bevel/>
                                <a:headEnd type="none" w="med" len="med"/>
                                <a:tailEnd type="none" w="med" len="med"/>
                              </a:ln>
                            </wps:spPr>
                            <wps:bodyPr upright="1"/>
                          </wps:wsp>
                        </a:graphicData>
                      </a:graphic>
                    </wp:inline>
                  </w:drawing>
                </mc:Choice>
                <mc:Fallback>
                  <w:pict>
                    <v:shape id="_x0000_s1026" o:spid="_x0000_s1026" o:spt="100" style="height:8.25pt;width:8.2pt;" filled="f" stroked="t" coordsize="163,165" o:gfxdata="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uj1nzgAAAAMBAAAPAAAAAAAAAAEAIAAAACIAAABkcnMvZG93bnJldi54bWxQSwEC&#10;FAAUAAAACACHTuJAAU2GOjcCAAC6BAAADgAAAAAAAAABACAAAAAdAQAAZHJzL2Uyb0RvYy54bWxQ&#10;SwUGAAAAAAYABgBZAQAAxgUAAAAA&#10;" path="m163,0l163,164m0,164l0,0e">
                      <v:fill on="f" focussize="0,0"/>
                      <v:stroke weight="0pt" color="#000000" joinstyle="bevel" endcap="square"/>
                      <v:imagedata o:title=""/>
                      <o:lock v:ext="edit" aspectratio="f"/>
                      <w10:wrap type="none"/>
                      <w10:anchorlock/>
                    </v:shape>
                  </w:pict>
                </mc:Fallback>
              </mc:AlternateContent>
            </w:r>
          </w:p>
        </w:tc>
        <w:tc>
          <w:tcPr>
            <w:tcW w:w="4919" w:type="dxa"/>
            <w:gridSpan w:val="18"/>
            <w:vMerge w:val="continue"/>
            <w:tcBorders>
              <w:top w:val="nil"/>
              <w:bottom w:val="nil"/>
            </w:tcBorders>
          </w:tcPr>
          <w:p>
            <w:pPr>
              <w:jc w:val="left"/>
              <w:rPr>
                <w:rFonts w:ascii="Arial" w:hAnsi="Arial" w:cs="Arial"/>
              </w:rPr>
            </w:pPr>
          </w:p>
        </w:tc>
        <w:tc>
          <w:tcPr>
            <w:tcW w:w="1500" w:type="dxa"/>
            <w:gridSpan w:val="3"/>
            <w:vMerge w:val="continue"/>
            <w:tcBorders>
              <w:top w:val="nil"/>
              <w:bottom w:val="nil"/>
            </w:tcBorders>
          </w:tcPr>
          <w:p>
            <w:pPr>
              <w:jc w:val="left"/>
              <w:rPr>
                <w:rFonts w:ascii="Arial" w:hAnsi="Arial" w:cs="Arial"/>
              </w:rPr>
            </w:pPr>
          </w:p>
        </w:tc>
        <w:tc>
          <w:tcPr>
            <w:tcW w:w="2446" w:type="dxa"/>
            <w:gridSpan w:val="3"/>
            <w:vMerge w:val="continue"/>
            <w:tcBorders>
              <w:top w:val="nil"/>
              <w:bottom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75" w:hRule="atLeast"/>
        </w:trPr>
        <w:tc>
          <w:tcPr>
            <w:tcW w:w="1186" w:type="dxa"/>
            <w:tcBorders>
              <w:top w:val="nil"/>
            </w:tcBorders>
          </w:tcPr>
          <w:p>
            <w:pPr>
              <w:spacing w:line="165" w:lineRule="exact"/>
              <w:jc w:val="left"/>
              <w:rPr>
                <w:rFonts w:ascii="Arial" w:hAnsi="Arial" w:cs="Arial"/>
                <w:sz w:val="14"/>
              </w:rPr>
            </w:pPr>
          </w:p>
        </w:tc>
        <w:tc>
          <w:tcPr>
            <w:tcW w:w="4919" w:type="dxa"/>
            <w:gridSpan w:val="18"/>
            <w:vMerge w:val="continue"/>
            <w:tcBorders>
              <w:top w:val="nil"/>
            </w:tcBorders>
          </w:tcPr>
          <w:p>
            <w:pPr>
              <w:jc w:val="left"/>
              <w:rPr>
                <w:rFonts w:ascii="Arial" w:hAnsi="Arial" w:cs="Arial"/>
              </w:rPr>
            </w:pPr>
          </w:p>
        </w:tc>
        <w:tc>
          <w:tcPr>
            <w:tcW w:w="1500" w:type="dxa"/>
            <w:gridSpan w:val="3"/>
            <w:vMerge w:val="continue"/>
            <w:tcBorders>
              <w:top w:val="nil"/>
            </w:tcBorders>
          </w:tcPr>
          <w:p>
            <w:pPr>
              <w:jc w:val="left"/>
              <w:rPr>
                <w:rFonts w:ascii="Arial" w:hAnsi="Arial" w:cs="Arial"/>
              </w:rPr>
            </w:pPr>
          </w:p>
        </w:tc>
        <w:tc>
          <w:tcPr>
            <w:tcW w:w="2446" w:type="dxa"/>
            <w:gridSpan w:val="3"/>
            <w:vMerge w:val="continue"/>
            <w:tcBorders>
              <w:top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10051" w:type="dxa"/>
            <w:gridSpan w:val="25"/>
            <w:shd w:val="clear" w:color="auto" w:fill="E7E6E6"/>
          </w:tcPr>
          <w:p>
            <w:pPr>
              <w:pStyle w:val="20"/>
              <w:spacing w:before="74" w:line="205" w:lineRule="auto"/>
              <w:ind w:left="115"/>
              <w:rPr>
                <w:rFonts w:hint="eastAsia"/>
              </w:rPr>
            </w:pPr>
            <w:r>
              <w:rPr>
                <w:rFonts w:ascii="宋体" w:hAnsi="宋体" w:eastAsia="宋体" w:cs="宋体"/>
                <w:b/>
                <w:bCs/>
                <w:spacing w:val="-1"/>
              </w:rPr>
              <w:t>制造商信息</w:t>
            </w:r>
            <w:r>
              <w:rPr>
                <w:rFonts w:ascii="宋体" w:hAnsi="宋体" w:eastAsia="宋体" w:cs="宋体"/>
                <w:spacing w:val="-40"/>
              </w:rPr>
              <w:t xml:space="preserve"> </w:t>
            </w:r>
            <w:r>
              <w:rPr>
                <w:b/>
                <w:bCs/>
                <w:spacing w:val="-1"/>
              </w:rPr>
              <w:t>Manufacturer Information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2648" w:type="dxa"/>
            <w:gridSpan w:val="3"/>
          </w:tcPr>
          <w:p>
            <w:pPr>
              <w:pStyle w:val="20"/>
              <w:spacing w:before="59" w:line="200" w:lineRule="auto"/>
              <w:ind w:left="115"/>
              <w:rPr>
                <w:rFonts w:hint="eastAsia"/>
              </w:rPr>
            </w:pPr>
            <w:r>
              <w:rPr>
                <w:rFonts w:ascii="宋体" w:hAnsi="宋体" w:eastAsia="宋体" w:cs="宋体"/>
                <w:spacing w:val="-1"/>
              </w:rPr>
              <w:t>制造商</w:t>
            </w:r>
            <w:r>
              <w:rPr>
                <w:rFonts w:ascii="宋体" w:hAnsi="宋体" w:eastAsia="宋体" w:cs="宋体"/>
                <w:spacing w:val="-38"/>
              </w:rPr>
              <w:t xml:space="preserve"> </w:t>
            </w:r>
            <w:r>
              <w:rPr>
                <w:spacing w:val="-1"/>
              </w:rPr>
              <w:t>Manufacturer</w:t>
            </w:r>
          </w:p>
        </w:tc>
        <w:tc>
          <w:tcPr>
            <w:tcW w:w="7403" w:type="dxa"/>
            <w:gridSpan w:val="22"/>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2648" w:type="dxa"/>
            <w:gridSpan w:val="3"/>
          </w:tcPr>
          <w:p>
            <w:pPr>
              <w:pStyle w:val="20"/>
              <w:spacing w:before="60" w:line="198" w:lineRule="auto"/>
              <w:ind w:left="115"/>
              <w:rPr>
                <w:rFonts w:hint="eastAsia"/>
              </w:rPr>
            </w:pPr>
            <w:r>
              <w:rPr>
                <w:rFonts w:ascii="宋体" w:hAnsi="宋体" w:eastAsia="宋体" w:cs="宋体"/>
                <w:spacing w:val="-2"/>
              </w:rPr>
              <w:t>地址</w:t>
            </w:r>
            <w:r>
              <w:rPr>
                <w:rFonts w:ascii="宋体" w:hAnsi="宋体" w:eastAsia="宋体" w:cs="宋体"/>
                <w:spacing w:val="-36"/>
              </w:rPr>
              <w:t xml:space="preserve"> </w:t>
            </w:r>
            <w:r>
              <w:rPr>
                <w:spacing w:val="-2"/>
              </w:rPr>
              <w:t>Address</w:t>
            </w:r>
          </w:p>
        </w:tc>
        <w:tc>
          <w:tcPr>
            <w:tcW w:w="7403" w:type="dxa"/>
            <w:gridSpan w:val="22"/>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2648" w:type="dxa"/>
            <w:gridSpan w:val="3"/>
          </w:tcPr>
          <w:p>
            <w:pPr>
              <w:pStyle w:val="20"/>
              <w:spacing w:before="60" w:line="198" w:lineRule="auto"/>
              <w:ind w:left="136"/>
              <w:rPr>
                <w:rFonts w:hint="eastAsia"/>
              </w:rPr>
            </w:pPr>
            <w:r>
              <w:rPr>
                <w:rFonts w:ascii="宋体" w:hAnsi="宋体" w:eastAsia="宋体" w:cs="宋体"/>
                <w:spacing w:val="-5"/>
              </w:rPr>
              <w:t>电话</w:t>
            </w:r>
            <w:r>
              <w:rPr>
                <w:rFonts w:ascii="宋体" w:hAnsi="宋体" w:eastAsia="宋体" w:cs="宋体"/>
                <w:spacing w:val="-30"/>
              </w:rPr>
              <w:t xml:space="preserve"> </w:t>
            </w:r>
            <w:r>
              <w:rPr>
                <w:spacing w:val="-5"/>
              </w:rPr>
              <w:t>Telephone</w:t>
            </w:r>
          </w:p>
        </w:tc>
        <w:tc>
          <w:tcPr>
            <w:tcW w:w="1995" w:type="dxa"/>
            <w:gridSpan w:val="7"/>
          </w:tcPr>
          <w:p>
            <w:pPr>
              <w:jc w:val="left"/>
              <w:rPr>
                <w:rFonts w:ascii="Arial" w:hAnsi="Arial" w:cs="Arial"/>
              </w:rPr>
            </w:pPr>
          </w:p>
        </w:tc>
        <w:tc>
          <w:tcPr>
            <w:tcW w:w="1414" w:type="dxa"/>
            <w:gridSpan w:val="8"/>
          </w:tcPr>
          <w:p>
            <w:pPr>
              <w:pStyle w:val="20"/>
              <w:spacing w:before="60" w:line="198" w:lineRule="auto"/>
              <w:ind w:left="150"/>
              <w:rPr>
                <w:rFonts w:hint="eastAsia"/>
              </w:rPr>
            </w:pPr>
            <w:r>
              <w:rPr>
                <w:rFonts w:ascii="宋体" w:hAnsi="宋体" w:eastAsia="宋体" w:cs="宋体"/>
                <w:spacing w:val="-4"/>
              </w:rPr>
              <w:t>电子邮箱</w:t>
            </w:r>
            <w:r>
              <w:rPr>
                <w:rFonts w:ascii="宋体" w:hAnsi="宋体" w:eastAsia="宋体" w:cs="宋体"/>
                <w:spacing w:val="-39"/>
              </w:rPr>
              <w:t xml:space="preserve"> </w:t>
            </w:r>
            <w:r>
              <w:rPr>
                <w:spacing w:val="-4"/>
              </w:rPr>
              <w:t>Email</w:t>
            </w:r>
          </w:p>
        </w:tc>
        <w:tc>
          <w:tcPr>
            <w:tcW w:w="3994" w:type="dxa"/>
            <w:gridSpan w:val="7"/>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2648" w:type="dxa"/>
            <w:gridSpan w:val="3"/>
          </w:tcPr>
          <w:p>
            <w:pPr>
              <w:pStyle w:val="20"/>
              <w:spacing w:before="62" w:line="196" w:lineRule="auto"/>
              <w:ind w:left="129"/>
              <w:rPr>
                <w:rFonts w:hint="eastAsia"/>
              </w:rPr>
            </w:pPr>
            <w:r>
              <w:rPr>
                <w:rFonts w:ascii="宋体" w:hAnsi="宋体" w:eastAsia="宋体" w:cs="宋体"/>
                <w:spacing w:val="-5"/>
              </w:rPr>
              <w:t>网址</w:t>
            </w:r>
            <w:r>
              <w:rPr>
                <w:rFonts w:ascii="宋体" w:hAnsi="宋体" w:eastAsia="宋体" w:cs="宋体"/>
                <w:spacing w:val="-35"/>
              </w:rPr>
              <w:t xml:space="preserve"> </w:t>
            </w:r>
            <w:r>
              <w:rPr>
                <w:spacing w:val="-5"/>
              </w:rPr>
              <w:t>Website</w:t>
            </w:r>
          </w:p>
        </w:tc>
        <w:tc>
          <w:tcPr>
            <w:tcW w:w="7403" w:type="dxa"/>
            <w:gridSpan w:val="22"/>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10051" w:type="dxa"/>
            <w:gridSpan w:val="25"/>
            <w:shd w:val="clear" w:color="auto" w:fill="E7E6E6"/>
          </w:tcPr>
          <w:p>
            <w:pPr>
              <w:pStyle w:val="20"/>
              <w:spacing w:before="79" w:line="199" w:lineRule="auto"/>
              <w:ind w:left="115"/>
              <w:rPr>
                <w:rFonts w:hint="eastAsia"/>
              </w:rPr>
            </w:pPr>
            <w:r>
              <w:rPr>
                <w:rFonts w:ascii="宋体" w:hAnsi="宋体" w:eastAsia="宋体" w:cs="宋体"/>
                <w:b/>
                <w:bCs/>
                <w:spacing w:val="-1"/>
              </w:rPr>
              <w:t>试验室信息</w:t>
            </w:r>
            <w:r>
              <w:rPr>
                <w:rFonts w:ascii="宋体" w:hAnsi="宋体" w:eastAsia="宋体" w:cs="宋体"/>
                <w:spacing w:val="-35"/>
              </w:rPr>
              <w:t xml:space="preserve"> </w:t>
            </w:r>
            <w:r>
              <w:rPr>
                <w:b/>
                <w:bCs/>
                <w:spacing w:val="-1"/>
              </w:rPr>
              <w:t>Laboratory Information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2648" w:type="dxa"/>
            <w:gridSpan w:val="3"/>
          </w:tcPr>
          <w:p>
            <w:pPr>
              <w:pStyle w:val="20"/>
              <w:spacing w:before="64" w:line="194" w:lineRule="auto"/>
              <w:ind w:left="115"/>
              <w:rPr>
                <w:rFonts w:hint="eastAsia"/>
              </w:rPr>
            </w:pPr>
            <w:r>
              <w:rPr>
                <w:rFonts w:ascii="宋体" w:hAnsi="宋体" w:eastAsia="宋体" w:cs="宋体"/>
                <w:spacing w:val="-1"/>
              </w:rPr>
              <w:t>试验室</w:t>
            </w:r>
            <w:r>
              <w:rPr>
                <w:rFonts w:ascii="宋体" w:hAnsi="宋体" w:eastAsia="宋体" w:cs="宋体"/>
                <w:spacing w:val="-38"/>
              </w:rPr>
              <w:t xml:space="preserve"> </w:t>
            </w:r>
            <w:r>
              <w:rPr>
                <w:spacing w:val="-1"/>
              </w:rPr>
              <w:t>Laboratory</w:t>
            </w:r>
          </w:p>
        </w:tc>
        <w:tc>
          <w:tcPr>
            <w:tcW w:w="7403" w:type="dxa"/>
            <w:gridSpan w:val="22"/>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2648" w:type="dxa"/>
            <w:gridSpan w:val="3"/>
          </w:tcPr>
          <w:p>
            <w:pPr>
              <w:pStyle w:val="20"/>
              <w:spacing w:before="66" w:line="192" w:lineRule="auto"/>
              <w:ind w:left="115"/>
              <w:rPr>
                <w:rFonts w:hint="eastAsia"/>
              </w:rPr>
            </w:pPr>
            <w:r>
              <w:rPr>
                <w:rFonts w:ascii="宋体" w:hAnsi="宋体" w:eastAsia="宋体" w:cs="宋体"/>
                <w:spacing w:val="-2"/>
              </w:rPr>
              <w:t>地址</w:t>
            </w:r>
            <w:r>
              <w:rPr>
                <w:rFonts w:ascii="宋体" w:hAnsi="宋体" w:eastAsia="宋体" w:cs="宋体"/>
                <w:spacing w:val="-36"/>
              </w:rPr>
              <w:t xml:space="preserve"> </w:t>
            </w:r>
            <w:r>
              <w:rPr>
                <w:spacing w:val="-2"/>
              </w:rPr>
              <w:t>Address</w:t>
            </w:r>
          </w:p>
        </w:tc>
        <w:tc>
          <w:tcPr>
            <w:tcW w:w="7403" w:type="dxa"/>
            <w:gridSpan w:val="22"/>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1769" w:type="dxa"/>
            <w:gridSpan w:val="2"/>
          </w:tcPr>
          <w:p>
            <w:pPr>
              <w:pStyle w:val="20"/>
              <w:spacing w:before="66" w:line="192" w:lineRule="auto"/>
              <w:ind w:left="136"/>
              <w:rPr>
                <w:rFonts w:hint="eastAsia"/>
              </w:rPr>
            </w:pPr>
            <w:r>
              <w:rPr>
                <w:rFonts w:ascii="宋体" w:hAnsi="宋体" w:eastAsia="宋体" w:cs="宋体"/>
                <w:spacing w:val="-9"/>
              </w:rPr>
              <w:t>电话</w:t>
            </w:r>
            <w:r>
              <w:rPr>
                <w:rFonts w:ascii="宋体" w:hAnsi="宋体" w:eastAsia="宋体" w:cs="宋体"/>
                <w:spacing w:val="-38"/>
              </w:rPr>
              <w:t xml:space="preserve"> </w:t>
            </w:r>
            <w:r>
              <w:rPr>
                <w:spacing w:val="-9"/>
              </w:rPr>
              <w:t>Tel</w:t>
            </w:r>
          </w:p>
        </w:tc>
        <w:tc>
          <w:tcPr>
            <w:tcW w:w="1772" w:type="dxa"/>
            <w:gridSpan w:val="3"/>
          </w:tcPr>
          <w:p>
            <w:pPr>
              <w:jc w:val="left"/>
              <w:rPr>
                <w:rFonts w:ascii="Arial" w:hAnsi="Arial" w:cs="Arial"/>
              </w:rPr>
            </w:pPr>
          </w:p>
        </w:tc>
        <w:tc>
          <w:tcPr>
            <w:tcW w:w="1456" w:type="dxa"/>
            <w:gridSpan w:val="7"/>
          </w:tcPr>
          <w:p>
            <w:pPr>
              <w:pStyle w:val="20"/>
              <w:spacing w:before="66" w:line="192" w:lineRule="auto"/>
              <w:ind w:left="133"/>
              <w:rPr>
                <w:rFonts w:hint="eastAsia"/>
              </w:rPr>
            </w:pPr>
            <w:r>
              <w:rPr>
                <w:rFonts w:ascii="宋体" w:hAnsi="宋体" w:eastAsia="宋体" w:cs="宋体"/>
                <w:spacing w:val="-4"/>
              </w:rPr>
              <w:t>电子邮箱</w:t>
            </w:r>
            <w:r>
              <w:rPr>
                <w:rFonts w:ascii="宋体" w:hAnsi="宋体" w:eastAsia="宋体" w:cs="宋体"/>
                <w:spacing w:val="-39"/>
              </w:rPr>
              <w:t xml:space="preserve"> </w:t>
            </w:r>
            <w:r>
              <w:rPr>
                <w:spacing w:val="-4"/>
              </w:rPr>
              <w:t>Email</w:t>
            </w:r>
          </w:p>
        </w:tc>
        <w:tc>
          <w:tcPr>
            <w:tcW w:w="1671" w:type="dxa"/>
            <w:gridSpan w:val="9"/>
          </w:tcPr>
          <w:p>
            <w:pPr>
              <w:jc w:val="left"/>
              <w:rPr>
                <w:rFonts w:ascii="Arial" w:hAnsi="Arial" w:cs="Arial"/>
              </w:rPr>
            </w:pPr>
          </w:p>
        </w:tc>
        <w:tc>
          <w:tcPr>
            <w:tcW w:w="1411" w:type="dxa"/>
            <w:gridSpan w:val="2"/>
          </w:tcPr>
          <w:p>
            <w:pPr>
              <w:pStyle w:val="20"/>
              <w:spacing w:before="66" w:line="192" w:lineRule="auto"/>
              <w:ind w:left="136"/>
              <w:rPr>
                <w:rFonts w:hint="eastAsia"/>
              </w:rPr>
            </w:pPr>
            <w:r>
              <w:rPr>
                <w:rFonts w:ascii="宋体" w:hAnsi="宋体" w:eastAsia="宋体" w:cs="宋体"/>
                <w:spacing w:val="-5"/>
              </w:rPr>
              <w:t>网址</w:t>
            </w:r>
            <w:r>
              <w:rPr>
                <w:rFonts w:ascii="宋体" w:hAnsi="宋体" w:eastAsia="宋体" w:cs="宋体"/>
                <w:spacing w:val="-35"/>
              </w:rPr>
              <w:t xml:space="preserve"> </w:t>
            </w:r>
            <w:r>
              <w:rPr>
                <w:spacing w:val="-5"/>
              </w:rPr>
              <w:t>Website</w:t>
            </w:r>
          </w:p>
        </w:tc>
        <w:tc>
          <w:tcPr>
            <w:tcW w:w="1972" w:type="dxa"/>
            <w:gridSpan w:val="2"/>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10051" w:type="dxa"/>
            <w:gridSpan w:val="25"/>
            <w:shd w:val="clear" w:color="auto" w:fill="E7E6E6"/>
          </w:tcPr>
          <w:p>
            <w:pPr>
              <w:pStyle w:val="20"/>
              <w:spacing w:before="83" w:line="191" w:lineRule="exact"/>
              <w:ind w:left="111"/>
              <w:rPr>
                <w:rFonts w:hint="eastAsia"/>
              </w:rPr>
            </w:pPr>
            <w:r>
              <w:rPr>
                <w:b/>
                <w:bCs/>
                <w:spacing w:val="-1"/>
                <w:position w:val="-1"/>
              </w:rPr>
              <w:t>试验</w:t>
            </w:r>
            <w:r>
              <w:rPr>
                <w:rFonts w:ascii="宋体" w:hAnsi="宋体" w:eastAsia="宋体" w:cs="宋体"/>
                <w:b/>
                <w:bCs/>
                <w:spacing w:val="-1"/>
                <w:position w:val="-1"/>
              </w:rPr>
              <w:t>项目和结果</w:t>
            </w:r>
            <w:r>
              <w:rPr>
                <w:rFonts w:ascii="宋体" w:hAnsi="宋体" w:eastAsia="宋体" w:cs="宋体"/>
                <w:spacing w:val="-29"/>
                <w:position w:val="-1"/>
              </w:rPr>
              <w:t xml:space="preserve"> </w:t>
            </w:r>
            <w:r>
              <w:rPr>
                <w:b/>
                <w:bCs/>
                <w:spacing w:val="-1"/>
                <w:position w:val="-1"/>
              </w:rPr>
              <w:t>UN38.3 Test conducted and results UN38.3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4" w:hRule="atLeast"/>
        </w:trPr>
        <w:tc>
          <w:tcPr>
            <w:tcW w:w="3195" w:type="dxa"/>
            <w:gridSpan w:val="4"/>
          </w:tcPr>
          <w:p>
            <w:pPr>
              <w:pStyle w:val="20"/>
              <w:spacing w:before="99" w:line="212" w:lineRule="auto"/>
              <w:ind w:left="115"/>
              <w:rPr>
                <w:rFonts w:hint="eastAsia"/>
              </w:rPr>
            </w:pPr>
            <w:r>
              <w:rPr>
                <w:rFonts w:ascii="宋体" w:hAnsi="宋体" w:eastAsia="宋体" w:cs="宋体"/>
                <w:spacing w:val="-2"/>
              </w:rPr>
              <w:t>检测报告编号</w:t>
            </w:r>
            <w:r>
              <w:rPr>
                <w:rFonts w:ascii="宋体" w:hAnsi="宋体" w:eastAsia="宋体" w:cs="宋体"/>
                <w:spacing w:val="-27"/>
              </w:rPr>
              <w:t xml:space="preserve"> </w:t>
            </w:r>
            <w:r>
              <w:rPr>
                <w:spacing w:val="-2"/>
              </w:rPr>
              <w:t>Test Report ID</w:t>
            </w:r>
          </w:p>
        </w:tc>
        <w:tc>
          <w:tcPr>
            <w:tcW w:w="1802" w:type="dxa"/>
            <w:gridSpan w:val="8"/>
          </w:tcPr>
          <w:p>
            <w:pPr>
              <w:jc w:val="left"/>
              <w:rPr>
                <w:rFonts w:ascii="Arial" w:hAnsi="Arial" w:cs="Arial"/>
              </w:rPr>
            </w:pPr>
          </w:p>
        </w:tc>
        <w:tc>
          <w:tcPr>
            <w:tcW w:w="3509" w:type="dxa"/>
            <w:gridSpan w:val="12"/>
          </w:tcPr>
          <w:p>
            <w:pPr>
              <w:pStyle w:val="20"/>
              <w:spacing w:before="99" w:line="212" w:lineRule="auto"/>
              <w:ind w:left="108"/>
              <w:rPr>
                <w:rFonts w:hint="eastAsia"/>
              </w:rPr>
            </w:pPr>
            <w:r>
              <w:rPr>
                <w:rFonts w:ascii="宋体" w:hAnsi="宋体" w:eastAsia="宋体" w:cs="宋体"/>
                <w:spacing w:val="-1"/>
              </w:rPr>
              <w:t>检测报告签发日期</w:t>
            </w:r>
            <w:r>
              <w:rPr>
                <w:rFonts w:ascii="宋体" w:hAnsi="宋体" w:eastAsia="宋体" w:cs="宋体"/>
                <w:spacing w:val="-25"/>
              </w:rPr>
              <w:t xml:space="preserve"> </w:t>
            </w:r>
            <w:r>
              <w:rPr>
                <w:spacing w:val="-1"/>
              </w:rPr>
              <w:t>Date of</w:t>
            </w:r>
            <w:r>
              <w:rPr>
                <w:spacing w:val="-17"/>
              </w:rPr>
              <w:t xml:space="preserve"> </w:t>
            </w:r>
            <w:r>
              <w:rPr>
                <w:spacing w:val="-1"/>
              </w:rPr>
              <w:t>Test Report</w:t>
            </w:r>
          </w:p>
        </w:tc>
        <w:tc>
          <w:tcPr>
            <w:tcW w:w="1545" w:type="dxa"/>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4" w:hRule="atLeast"/>
        </w:trPr>
        <w:tc>
          <w:tcPr>
            <w:tcW w:w="4997" w:type="dxa"/>
            <w:gridSpan w:val="12"/>
          </w:tcPr>
          <w:p>
            <w:pPr>
              <w:pStyle w:val="20"/>
              <w:spacing w:before="69" w:line="219" w:lineRule="auto"/>
              <w:ind w:left="115"/>
              <w:rPr>
                <w:rFonts w:hint="eastAsia" w:ascii="宋体" w:hAnsi="宋体" w:eastAsia="宋体" w:cs="宋体"/>
                <w:lang w:eastAsia="zh-CN"/>
              </w:rPr>
            </w:pPr>
            <w:r>
              <w:rPr>
                <w:rFonts w:ascii="宋体" w:hAnsi="宋体" w:eastAsia="宋体" w:cs="宋体"/>
                <w:spacing w:val="-1"/>
                <w:lang w:eastAsia="zh-CN"/>
              </w:rPr>
              <w:t>联合国《试验和标准手册》版本号</w:t>
            </w:r>
            <w:r>
              <w:rPr>
                <w:spacing w:val="-1"/>
                <w:lang w:eastAsia="zh-CN"/>
              </w:rPr>
              <w:t>/</w:t>
            </w:r>
            <w:r>
              <w:rPr>
                <w:rFonts w:ascii="宋体" w:hAnsi="宋体" w:eastAsia="宋体" w:cs="宋体"/>
                <w:spacing w:val="-1"/>
                <w:lang w:eastAsia="zh-CN"/>
              </w:rPr>
              <w:t>修订版</w:t>
            </w:r>
          </w:p>
          <w:p>
            <w:pPr>
              <w:pStyle w:val="20"/>
              <w:spacing w:before="73" w:line="182" w:lineRule="auto"/>
              <w:ind w:left="111"/>
              <w:rPr>
                <w:rFonts w:hint="eastAsia"/>
              </w:rPr>
            </w:pPr>
            <w:r>
              <w:t>Manual of</w:t>
            </w:r>
            <w:r>
              <w:rPr>
                <w:spacing w:val="-17"/>
              </w:rPr>
              <w:t xml:space="preserve"> </w:t>
            </w:r>
            <w:r>
              <w:t>Test and Criteria version / amend</w:t>
            </w:r>
            <w:r>
              <w:rPr>
                <w:spacing w:val="-1"/>
              </w:rPr>
              <w:t>ment</w:t>
            </w:r>
          </w:p>
        </w:tc>
        <w:tc>
          <w:tcPr>
            <w:tcW w:w="5054" w:type="dxa"/>
            <w:gridSpan w:val="13"/>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10051" w:type="dxa"/>
            <w:gridSpan w:val="25"/>
          </w:tcPr>
          <w:p>
            <w:pPr>
              <w:pStyle w:val="20"/>
              <w:spacing w:before="71" w:line="187" w:lineRule="auto"/>
              <w:ind w:left="2981"/>
              <w:rPr>
                <w:rFonts w:hint="eastAsia"/>
              </w:rPr>
            </w:pPr>
            <w:r>
              <w:rPr>
                <w:rFonts w:ascii="宋体" w:hAnsi="宋体" w:eastAsia="宋体" w:cs="宋体"/>
                <w:b/>
                <w:bCs/>
                <w:spacing w:val="-2"/>
              </w:rPr>
              <w:t>已完成的试验项目清单</w:t>
            </w:r>
            <w:r>
              <w:rPr>
                <w:rFonts w:ascii="宋体" w:hAnsi="宋体" w:eastAsia="宋体" w:cs="宋体"/>
                <w:spacing w:val="-32"/>
              </w:rPr>
              <w:t xml:space="preserve"> </w:t>
            </w:r>
            <w:r>
              <w:rPr>
                <w:b/>
                <w:bCs/>
                <w:spacing w:val="-2"/>
              </w:rPr>
              <w:t>List of</w:t>
            </w:r>
            <w:r>
              <w:rPr>
                <w:b/>
                <w:bCs/>
                <w:spacing w:val="-9"/>
              </w:rPr>
              <w:t xml:space="preserve"> </w:t>
            </w:r>
            <w:r>
              <w:rPr>
                <w:b/>
                <w:bCs/>
                <w:spacing w:val="-2"/>
              </w:rPr>
              <w:t>Tests Completed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4" w:hRule="atLeast"/>
        </w:trPr>
        <w:tc>
          <w:tcPr>
            <w:tcW w:w="4162" w:type="dxa"/>
            <w:gridSpan w:val="7"/>
          </w:tcPr>
          <w:p>
            <w:pPr>
              <w:pStyle w:val="20"/>
              <w:spacing w:before="71" w:line="241" w:lineRule="auto"/>
              <w:ind w:left="1323" w:right="1316" w:firstLine="13"/>
              <w:rPr>
                <w:rFonts w:hint="eastAsia"/>
              </w:rPr>
            </w:pPr>
            <w:r>
              <w:rPr>
                <w:rFonts w:ascii="宋体" w:hAnsi="宋体" w:eastAsia="宋体" w:cs="宋体"/>
                <w:spacing w:val="-2"/>
              </w:rPr>
              <w:t>试验项目</w:t>
            </w:r>
            <w:r>
              <w:rPr>
                <w:rFonts w:ascii="宋体" w:hAnsi="宋体" w:eastAsia="宋体" w:cs="宋体"/>
              </w:rPr>
              <w:t xml:space="preserve"> </w:t>
            </w:r>
            <w:r>
              <w:rPr>
                <w:spacing w:val="-2"/>
              </w:rPr>
              <w:t>Test Items</w:t>
            </w:r>
          </w:p>
        </w:tc>
        <w:tc>
          <w:tcPr>
            <w:tcW w:w="679" w:type="dxa"/>
            <w:gridSpan w:val="4"/>
          </w:tcPr>
          <w:p>
            <w:pPr>
              <w:pStyle w:val="20"/>
              <w:spacing w:before="71" w:line="241" w:lineRule="auto"/>
              <w:ind w:left="180" w:right="157" w:hanging="17"/>
              <w:rPr>
                <w:rFonts w:hint="eastAsia"/>
              </w:rPr>
            </w:pPr>
            <w:r>
              <w:rPr>
                <w:rFonts w:ascii="宋体" w:hAnsi="宋体" w:eastAsia="宋体" w:cs="宋体"/>
                <w:spacing w:val="-4"/>
              </w:rPr>
              <w:t>通过</w:t>
            </w:r>
            <w:r>
              <w:rPr>
                <w:rFonts w:ascii="宋体" w:hAnsi="宋体" w:eastAsia="宋体" w:cs="宋体"/>
              </w:rPr>
              <w:t xml:space="preserve"> </w:t>
            </w:r>
            <w:r>
              <w:rPr>
                <w:spacing w:val="-1"/>
              </w:rPr>
              <w:t>Pass</w:t>
            </w:r>
          </w:p>
        </w:tc>
        <w:tc>
          <w:tcPr>
            <w:tcW w:w="643" w:type="dxa"/>
            <w:gridSpan w:val="5"/>
          </w:tcPr>
          <w:p>
            <w:pPr>
              <w:pStyle w:val="20"/>
              <w:spacing w:before="71" w:line="241" w:lineRule="auto"/>
              <w:ind w:left="178" w:right="142" w:hanging="32"/>
              <w:rPr>
                <w:rFonts w:hint="eastAsia"/>
              </w:rPr>
            </w:pPr>
            <w:r>
              <w:rPr>
                <w:rFonts w:ascii="宋体" w:hAnsi="宋体" w:eastAsia="宋体" w:cs="宋体"/>
                <w:spacing w:val="-6"/>
              </w:rPr>
              <w:t>失败</w:t>
            </w:r>
            <w:r>
              <w:rPr>
                <w:rFonts w:ascii="宋体" w:hAnsi="宋体" w:eastAsia="宋体" w:cs="宋体"/>
              </w:rPr>
              <w:t xml:space="preserve"> </w:t>
            </w:r>
            <w:r>
              <w:rPr>
                <w:spacing w:val="-1"/>
              </w:rPr>
              <w:t>Fail</w:t>
            </w:r>
          </w:p>
        </w:tc>
        <w:tc>
          <w:tcPr>
            <w:tcW w:w="473" w:type="dxa"/>
            <w:vMerge w:val="restart"/>
            <w:tcBorders>
              <w:bottom w:val="nil"/>
            </w:tcBorders>
          </w:tcPr>
          <w:p>
            <w:pPr>
              <w:jc w:val="left"/>
              <w:rPr>
                <w:rFonts w:ascii="Arial" w:hAnsi="Arial" w:cs="Arial"/>
              </w:rPr>
            </w:pPr>
          </w:p>
        </w:tc>
        <w:tc>
          <w:tcPr>
            <w:tcW w:w="4094" w:type="dxa"/>
            <w:gridSpan w:val="8"/>
          </w:tcPr>
          <w:p>
            <w:pPr>
              <w:spacing w:before="71" w:line="220" w:lineRule="auto"/>
              <w:ind w:left="109"/>
              <w:jc w:val="left"/>
              <w:rPr>
                <w:rFonts w:hint="eastAsia" w:ascii="宋体" w:hAnsi="宋体" w:eastAsia="宋体" w:cs="宋体"/>
                <w:sz w:val="18"/>
                <w:szCs w:val="18"/>
              </w:rPr>
            </w:pPr>
            <w:r>
              <w:rPr>
                <w:rFonts w:ascii="宋体" w:hAnsi="宋体" w:eastAsia="宋体" w:cs="宋体"/>
                <w:spacing w:val="-1"/>
                <w:sz w:val="18"/>
                <w:szCs w:val="18"/>
              </w:rPr>
              <w:t>关于组合电池的试验要求</w:t>
            </w:r>
          </w:p>
          <w:p>
            <w:pPr>
              <w:pStyle w:val="20"/>
              <w:spacing w:before="72" w:line="181" w:lineRule="auto"/>
              <w:ind w:left="102"/>
              <w:rPr>
                <w:rFonts w:hint="eastAsia"/>
              </w:rPr>
            </w:pPr>
            <w:r>
              <w:t>Reference to assembled battery testing requ</w:t>
            </w:r>
            <w:r>
              <w:rPr>
                <w:spacing w:val="-1"/>
              </w:rPr>
              <w:t>irement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 w:hRule="atLeast"/>
        </w:trPr>
        <w:tc>
          <w:tcPr>
            <w:tcW w:w="4162" w:type="dxa"/>
            <w:gridSpan w:val="7"/>
            <w:vMerge w:val="restart"/>
            <w:tcBorders>
              <w:bottom w:val="nil"/>
            </w:tcBorders>
          </w:tcPr>
          <w:p>
            <w:pPr>
              <w:pStyle w:val="20"/>
              <w:spacing w:before="72" w:line="140" w:lineRule="exact"/>
              <w:ind w:left="125"/>
              <w:rPr>
                <w:rFonts w:hint="eastAsia"/>
              </w:rPr>
            </w:pPr>
            <w:r>
              <w:rPr>
                <w:position w:val="-1"/>
              </w:rPr>
              <w:drawing>
                <wp:inline distT="0" distB="0" distL="0" distR="0">
                  <wp:extent cx="103505" cy="80645"/>
                  <wp:effectExtent l="0" t="0" r="0" b="0"/>
                  <wp:docPr id="202" name="IM 10"/>
                  <wp:cNvGraphicFramePr/>
                  <a:graphic xmlns:a="http://schemas.openxmlformats.org/drawingml/2006/main">
                    <a:graphicData uri="http://schemas.openxmlformats.org/drawingml/2006/picture">
                      <pic:pic xmlns:pic="http://schemas.openxmlformats.org/drawingml/2006/picture">
                        <pic:nvPicPr>
                          <pic:cNvPr id="202" name="IM 10"/>
                          <pic:cNvPicPr/>
                        </pic:nvPicPr>
                        <pic:blipFill>
                          <a:blip r:embed="rId10"/>
                          <a:stretch>
                            <a:fillRect/>
                          </a:stretch>
                        </pic:blipFill>
                        <pic:spPr>
                          <a:xfrm>
                            <a:off x="0" y="0"/>
                            <a:ext cx="104139" cy="80757"/>
                          </a:xfrm>
                          <a:prstGeom prst="rect">
                            <a:avLst/>
                          </a:prstGeom>
                        </pic:spPr>
                      </pic:pic>
                    </a:graphicData>
                  </a:graphic>
                </wp:inline>
              </w:drawing>
            </w:r>
            <w:r>
              <w:rPr>
                <w:spacing w:val="5"/>
                <w:position w:val="-1"/>
              </w:rPr>
              <w:t xml:space="preserve">   </w:t>
            </w:r>
            <w:r>
              <w:rPr>
                <w:spacing w:val="-1"/>
                <w:position w:val="-1"/>
              </w:rPr>
              <w:t xml:space="preserve">T.1  </w:t>
            </w:r>
            <w:r>
              <w:rPr>
                <w:rFonts w:ascii="宋体" w:hAnsi="宋体" w:eastAsia="宋体" w:cs="宋体"/>
                <w:spacing w:val="-1"/>
                <w:position w:val="-1"/>
              </w:rPr>
              <w:t>高度模拟</w:t>
            </w:r>
            <w:r>
              <w:rPr>
                <w:rFonts w:ascii="宋体" w:hAnsi="宋体" w:eastAsia="宋体" w:cs="宋体"/>
                <w:spacing w:val="-42"/>
                <w:position w:val="-1"/>
              </w:rPr>
              <w:t xml:space="preserve"> </w:t>
            </w:r>
            <w:r>
              <w:rPr>
                <w:spacing w:val="-1"/>
                <w:position w:val="-1"/>
              </w:rPr>
              <w:t>Altitude Simulation</w:t>
            </w:r>
          </w:p>
        </w:tc>
        <w:tc>
          <w:tcPr>
            <w:tcW w:w="239" w:type="dxa"/>
            <w:vMerge w:val="restart"/>
            <w:tcBorders>
              <w:bottom w:val="nil"/>
            </w:tcBorders>
          </w:tcPr>
          <w:p>
            <w:pPr>
              <w:spacing w:line="212" w:lineRule="exact"/>
              <w:jc w:val="left"/>
              <w:rPr>
                <w:rFonts w:ascii="Arial" w:hAnsi="Arial" w:cs="Arial"/>
                <w:sz w:val="18"/>
              </w:rPr>
            </w:pPr>
          </w:p>
        </w:tc>
        <w:tc>
          <w:tcPr>
            <w:tcW w:w="164" w:type="dxa"/>
            <w:tcBorders>
              <w:left w:val="nil"/>
              <w:right w:val="nil"/>
            </w:tcBorders>
          </w:tcPr>
          <w:p>
            <w:pPr>
              <w:spacing w:line="56" w:lineRule="exact"/>
              <w:jc w:val="left"/>
              <w:rPr>
                <w:rFonts w:ascii="Arial" w:hAnsi="Arial" w:cs="Arial"/>
                <w:sz w:val="4"/>
              </w:rPr>
            </w:pPr>
          </w:p>
        </w:tc>
        <w:tc>
          <w:tcPr>
            <w:tcW w:w="276" w:type="dxa"/>
            <w:gridSpan w:val="2"/>
            <w:vMerge w:val="restart"/>
            <w:tcBorders>
              <w:bottom w:val="nil"/>
            </w:tcBorders>
          </w:tcPr>
          <w:p>
            <w:pPr>
              <w:spacing w:line="212" w:lineRule="exact"/>
              <w:jc w:val="left"/>
              <w:rPr>
                <w:rFonts w:ascii="Arial" w:hAnsi="Arial" w:cs="Arial"/>
                <w:sz w:val="18"/>
              </w:rPr>
            </w:pPr>
          </w:p>
        </w:tc>
        <w:tc>
          <w:tcPr>
            <w:tcW w:w="217" w:type="dxa"/>
            <w:gridSpan w:val="2"/>
            <w:vMerge w:val="restart"/>
            <w:tcBorders>
              <w:bottom w:val="nil"/>
            </w:tcBorders>
          </w:tcPr>
          <w:p>
            <w:pPr>
              <w:spacing w:line="212" w:lineRule="exact"/>
              <w:jc w:val="left"/>
              <w:rPr>
                <w:rFonts w:ascii="Arial" w:hAnsi="Arial" w:cs="Arial"/>
                <w:sz w:val="18"/>
              </w:rPr>
            </w:pPr>
          </w:p>
        </w:tc>
        <w:tc>
          <w:tcPr>
            <w:tcW w:w="122" w:type="dxa"/>
            <w:tcBorders>
              <w:top w:val="nil"/>
              <w:left w:val="nil"/>
              <w:bottom w:val="nil"/>
              <w:right w:val="nil"/>
            </w:tcBorders>
          </w:tcPr>
          <w:p>
            <w:pPr>
              <w:spacing w:line="56" w:lineRule="exact"/>
              <w:jc w:val="left"/>
              <w:rPr>
                <w:rFonts w:ascii="Arial" w:hAnsi="Arial" w:cs="Arial"/>
                <w:sz w:val="4"/>
              </w:rPr>
            </w:pPr>
          </w:p>
        </w:tc>
        <w:tc>
          <w:tcPr>
            <w:tcW w:w="51" w:type="dxa"/>
            <w:tcBorders>
              <w:left w:val="nil"/>
              <w:right w:val="nil"/>
            </w:tcBorders>
          </w:tcPr>
          <w:p>
            <w:pPr>
              <w:spacing w:line="56" w:lineRule="exact"/>
              <w:jc w:val="left"/>
              <w:rPr>
                <w:rFonts w:ascii="Arial" w:hAnsi="Arial" w:cs="Arial"/>
                <w:sz w:val="4"/>
              </w:rPr>
            </w:pPr>
          </w:p>
        </w:tc>
        <w:tc>
          <w:tcPr>
            <w:tcW w:w="253" w:type="dxa"/>
            <w:vMerge w:val="restart"/>
            <w:tcBorders>
              <w:bottom w:val="nil"/>
            </w:tcBorders>
          </w:tcPr>
          <w:p>
            <w:pPr>
              <w:spacing w:line="212" w:lineRule="exact"/>
              <w:jc w:val="left"/>
              <w:rPr>
                <w:rFonts w:ascii="Arial" w:hAnsi="Arial" w:cs="Arial"/>
                <w:sz w:val="18"/>
              </w:rPr>
            </w:pPr>
          </w:p>
        </w:tc>
        <w:tc>
          <w:tcPr>
            <w:tcW w:w="473" w:type="dxa"/>
            <w:vMerge w:val="continue"/>
            <w:tcBorders>
              <w:top w:val="nil"/>
              <w:bottom w:val="nil"/>
            </w:tcBorders>
          </w:tcPr>
          <w:p>
            <w:pPr>
              <w:jc w:val="left"/>
              <w:rPr>
                <w:rFonts w:ascii="Arial" w:hAnsi="Arial" w:cs="Arial"/>
              </w:rPr>
            </w:pPr>
          </w:p>
        </w:tc>
        <w:tc>
          <w:tcPr>
            <w:tcW w:w="634" w:type="dxa"/>
            <w:gridSpan w:val="3"/>
            <w:vMerge w:val="restart"/>
            <w:tcBorders>
              <w:bottom w:val="nil"/>
            </w:tcBorders>
          </w:tcPr>
          <w:p>
            <w:pPr>
              <w:spacing w:before="209" w:line="164" w:lineRule="exact"/>
              <w:ind w:firstLine="207"/>
              <w:jc w:val="left"/>
              <w:rPr>
                <w:rFonts w:ascii="Arial" w:hAnsi="Arial" w:cs="Arial"/>
              </w:rPr>
            </w:pPr>
            <w:r>
              <w:rPr>
                <w:rFonts w:ascii="Arial" w:hAnsi="Arial" w:cs="Arial"/>
              </w:rPr>
              <mc:AlternateContent>
                <mc:Choice Requires="wps">
                  <w:drawing>
                    <wp:anchor distT="0" distB="0" distL="114300" distR="114300" simplePos="0" relativeHeight="251660288" behindDoc="0" locked="0" layoutInCell="1" allowOverlap="1">
                      <wp:simplePos x="0" y="0"/>
                      <wp:positionH relativeFrom="rightMargin">
                        <wp:posOffset>-267335</wp:posOffset>
                      </wp:positionH>
                      <wp:positionV relativeFrom="topMargin">
                        <wp:posOffset>132715</wp:posOffset>
                      </wp:positionV>
                      <wp:extent cx="104140" cy="104140"/>
                      <wp:effectExtent l="8890" t="8890" r="13970" b="13970"/>
                      <wp:wrapNone/>
                      <wp:docPr id="216" name="任意多边形 216"/>
                      <wp:cNvGraphicFramePr/>
                      <a:graphic xmlns:a="http://schemas.openxmlformats.org/drawingml/2006/main">
                        <a:graphicData uri="http://schemas.microsoft.com/office/word/2010/wordprocessingShape">
                          <wps:wsp>
                            <wps:cNvSpPr/>
                            <wps:spPr>
                              <a:xfrm>
                                <a:off x="0" y="0"/>
                                <a:ext cx="104140" cy="104140"/>
                              </a:xfrm>
                              <a:custGeom>
                                <a:avLst/>
                                <a:gdLst/>
                                <a:ahLst/>
                                <a:cxnLst/>
                                <a:rect l="0" t="0" r="0" b="0"/>
                                <a:pathLst>
                                  <a:path w="163" h="163">
                                    <a:moveTo>
                                      <a:pt x="0" y="0"/>
                                    </a:moveTo>
                                    <a:lnTo>
                                      <a:pt x="163" y="163"/>
                                    </a:lnTo>
                                    <a:moveTo>
                                      <a:pt x="0" y="163"/>
                                    </a:moveTo>
                                    <a:lnTo>
                                      <a:pt x="163"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0.55pt;margin-top:10.7pt;height:8.2pt;width:8.2pt;mso-position-horizontal-relative:page;mso-position-vertical-relative:page;z-index:251660288;mso-width-relative:page;mso-height-relative:page;" filled="f" stroked="t" coordsize="163,163" o:gfxdata="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hvgmnYAAAACQEAAA8AAAAAAAAAAQAgAAAAIgAAAGRycy9kb3ducmV2Lnht&#10;bFBLAQIUABQAAAAIAIdO4kAxWD8fMgIAALoEAAAOAAAAAAAAAAEAIAAAACcBAABkcnMvZTJvRG9j&#10;LnhtbFBLBQYAAAAABgAGAFkBAADLBQAAAAA=&#10;" path="m0,0l163,163m0,163l163,0e">
                      <v:fill on="f" focussize="0,0"/>
                      <v:stroke weight="0pt" color="#000000" joinstyle="bevel" endcap="square"/>
                      <v:imagedata o:title=""/>
                      <o:lock v:ext="edit" aspectratio="f"/>
                    </v:shape>
                  </w:pict>
                </mc:Fallback>
              </mc:AlternateContent>
            </w:r>
            <w:r>
              <w:rPr>
                <w:rFonts w:ascii="Arial" w:hAnsi="Arial" w:cs="Arial"/>
                <w:position w:val="-3"/>
              </w:rPr>
              <mc:AlternateContent>
                <mc:Choice Requires="wps">
                  <w:drawing>
                    <wp:inline distT="0" distB="0" distL="114300" distR="114300">
                      <wp:extent cx="104775" cy="104775"/>
                      <wp:effectExtent l="6350" t="6350" r="15875" b="15875"/>
                      <wp:docPr id="217" name="任意多边形 217"/>
                      <wp:cNvGraphicFramePr/>
                      <a:graphic xmlns:a="http://schemas.openxmlformats.org/drawingml/2006/main">
                        <a:graphicData uri="http://schemas.microsoft.com/office/word/2010/wordprocessingShape">
                          <wps:wsp>
                            <wps:cNvSpPr/>
                            <wps:spPr>
                              <a:xfrm>
                                <a:off x="0" y="0"/>
                                <a:ext cx="104775" cy="104775"/>
                              </a:xfrm>
                              <a:custGeom>
                                <a:avLst/>
                                <a:gdLst/>
                                <a:ahLst/>
                                <a:cxnLst/>
                                <a:rect l="0" t="0" r="0" b="0"/>
                                <a:pathLst>
                                  <a:path w="165" h="165">
                                    <a:moveTo>
                                      <a:pt x="0" y="0"/>
                                    </a:moveTo>
                                    <a:lnTo>
                                      <a:pt x="164" y="0"/>
                                    </a:lnTo>
                                    <a:lnTo>
                                      <a:pt x="164" y="164"/>
                                    </a:lnTo>
                                    <a:lnTo>
                                      <a:pt x="0" y="164"/>
                                    </a:lnTo>
                                    <a:lnTo>
                                      <a:pt x="0" y="0"/>
                                    </a:lnTo>
                                    <a:close/>
                                  </a:path>
                                </a:pathLst>
                              </a:custGeom>
                              <a:noFill/>
                              <a:ln w="0" cap="sq" cmpd="sng">
                                <a:solidFill>
                                  <a:srgbClr val="000000"/>
                                </a:solidFill>
                                <a:prstDash val="solid"/>
                                <a:bevel/>
                                <a:headEnd type="none" w="med" len="med"/>
                                <a:tailEnd type="none" w="med" len="med"/>
                              </a:ln>
                            </wps:spPr>
                            <wps:bodyPr upright="1"/>
                          </wps:wsp>
                        </a:graphicData>
                      </a:graphic>
                    </wp:inline>
                  </w:drawing>
                </mc:Choice>
                <mc:Fallback>
                  <w:pict>
                    <v:shape id="_x0000_s1026" o:spid="_x0000_s1026" o:spt="100" style="height:8.25pt;width:8.25pt;" filled="f" stroked="t" coordsize="165,165" o:gfxdata="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N5MWNAAAAADAQAADwAAAAAAAAABACAAAAAiAAAAZHJzL2Rvd25yZXYu&#10;eG1sUEsBAhQAFAAAAAgAh07iQEsmUQ48AgAA5AQAAA4AAAAAAAAAAQAgAAAAHwEAAGRycy9lMm9E&#10;b2MueG1sUEsFBgAAAAAGAAYAWQEAAM0FAAAAAA==&#10;" path="m0,0l164,0,164,164,0,164,0,0xe">
                      <v:fill on="f" focussize="0,0"/>
                      <v:stroke weight="0pt" color="#000000" joinstyle="bevel" endcap="square"/>
                      <v:imagedata o:title=""/>
                      <o:lock v:ext="edit" aspectratio="f"/>
                      <w10:wrap type="none"/>
                      <w10:anchorlock/>
                    </v:shape>
                  </w:pict>
                </mc:Fallback>
              </mc:AlternateContent>
            </w:r>
          </w:p>
        </w:tc>
        <w:tc>
          <w:tcPr>
            <w:tcW w:w="3460" w:type="dxa"/>
            <w:gridSpan w:val="5"/>
            <w:vMerge w:val="restart"/>
            <w:tcBorders>
              <w:bottom w:val="nil"/>
            </w:tcBorders>
          </w:tcPr>
          <w:p>
            <w:pPr>
              <w:spacing w:before="72" w:line="221" w:lineRule="auto"/>
              <w:ind w:left="140"/>
              <w:jc w:val="left"/>
              <w:rPr>
                <w:rFonts w:hint="eastAsia" w:ascii="宋体" w:hAnsi="宋体" w:eastAsia="宋体" w:cs="宋体"/>
                <w:sz w:val="18"/>
                <w:szCs w:val="18"/>
              </w:rPr>
            </w:pPr>
            <w:r>
              <w:rPr>
                <w:rFonts w:ascii="宋体" w:hAnsi="宋体" w:eastAsia="宋体" w:cs="宋体"/>
                <w:spacing w:val="-4"/>
                <w:sz w:val="18"/>
                <w:szCs w:val="18"/>
              </w:rPr>
              <w:t>不适用</w:t>
            </w:r>
          </w:p>
          <w:p>
            <w:pPr>
              <w:pStyle w:val="20"/>
              <w:spacing w:before="71" w:line="158" w:lineRule="auto"/>
              <w:ind w:left="128"/>
              <w:rPr>
                <w:rFonts w:hint="eastAsia"/>
              </w:rPr>
            </w:pPr>
            <w:r>
              <w:t>Not</w:t>
            </w:r>
            <w:r>
              <w:rPr>
                <w:spacing w:val="1"/>
              </w:rPr>
              <w:t xml:space="preserve"> </w:t>
            </w:r>
            <w:r>
              <w:t>applicable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1" w:hRule="atLeast"/>
        </w:trPr>
        <w:tc>
          <w:tcPr>
            <w:tcW w:w="4162" w:type="dxa"/>
            <w:gridSpan w:val="7"/>
            <w:vMerge w:val="continue"/>
            <w:tcBorders>
              <w:top w:val="nil"/>
            </w:tcBorders>
          </w:tcPr>
          <w:p>
            <w:pPr>
              <w:spacing w:line="212" w:lineRule="exact"/>
              <w:jc w:val="left"/>
              <w:rPr>
                <w:rFonts w:ascii="Arial" w:hAnsi="Arial" w:cs="Arial"/>
                <w:sz w:val="18"/>
              </w:rPr>
            </w:pPr>
          </w:p>
        </w:tc>
        <w:tc>
          <w:tcPr>
            <w:tcW w:w="239" w:type="dxa"/>
            <w:vMerge w:val="continue"/>
            <w:tcBorders>
              <w:top w:val="nil"/>
            </w:tcBorders>
          </w:tcPr>
          <w:p>
            <w:pPr>
              <w:spacing w:line="212" w:lineRule="exact"/>
              <w:jc w:val="left"/>
              <w:rPr>
                <w:rFonts w:ascii="Arial" w:hAnsi="Arial" w:cs="Arial"/>
                <w:sz w:val="18"/>
              </w:rPr>
            </w:pPr>
          </w:p>
        </w:tc>
        <w:tc>
          <w:tcPr>
            <w:tcW w:w="164" w:type="dxa"/>
          </w:tcPr>
          <w:p>
            <w:pPr>
              <w:spacing w:line="141" w:lineRule="exact"/>
              <w:jc w:val="left"/>
              <w:rPr>
                <w:rFonts w:ascii="Arial" w:hAnsi="Arial" w:cs="Arial"/>
                <w:sz w:val="12"/>
              </w:rPr>
            </w:pPr>
          </w:p>
        </w:tc>
        <w:tc>
          <w:tcPr>
            <w:tcW w:w="276" w:type="dxa"/>
            <w:gridSpan w:val="2"/>
            <w:vMerge w:val="continue"/>
            <w:tcBorders>
              <w:top w:val="nil"/>
            </w:tcBorders>
          </w:tcPr>
          <w:p>
            <w:pPr>
              <w:spacing w:line="212" w:lineRule="exact"/>
              <w:jc w:val="left"/>
              <w:rPr>
                <w:rFonts w:ascii="Arial" w:hAnsi="Arial" w:cs="Arial"/>
                <w:sz w:val="18"/>
              </w:rPr>
            </w:pPr>
          </w:p>
        </w:tc>
        <w:tc>
          <w:tcPr>
            <w:tcW w:w="217" w:type="dxa"/>
            <w:gridSpan w:val="2"/>
            <w:vMerge w:val="continue"/>
            <w:tcBorders>
              <w:top w:val="nil"/>
            </w:tcBorders>
          </w:tcPr>
          <w:p>
            <w:pPr>
              <w:spacing w:line="212" w:lineRule="exact"/>
              <w:jc w:val="left"/>
              <w:rPr>
                <w:rFonts w:ascii="Arial" w:hAnsi="Arial" w:cs="Arial"/>
                <w:sz w:val="18"/>
              </w:rPr>
            </w:pPr>
          </w:p>
        </w:tc>
        <w:tc>
          <w:tcPr>
            <w:tcW w:w="173" w:type="dxa"/>
            <w:gridSpan w:val="2"/>
          </w:tcPr>
          <w:p>
            <w:pPr>
              <w:spacing w:line="141" w:lineRule="exact"/>
              <w:jc w:val="left"/>
              <w:rPr>
                <w:rFonts w:ascii="Arial" w:hAnsi="Arial" w:cs="Arial"/>
                <w:sz w:val="12"/>
              </w:rPr>
            </w:pPr>
          </w:p>
        </w:tc>
        <w:tc>
          <w:tcPr>
            <w:tcW w:w="253" w:type="dxa"/>
            <w:vMerge w:val="continue"/>
            <w:tcBorders>
              <w:top w:val="nil"/>
            </w:tcBorders>
          </w:tcPr>
          <w:p>
            <w:pPr>
              <w:spacing w:line="212" w:lineRule="exact"/>
              <w:jc w:val="left"/>
              <w:rPr>
                <w:rFonts w:ascii="Arial" w:hAnsi="Arial" w:cs="Arial"/>
                <w:sz w:val="18"/>
              </w:rPr>
            </w:pPr>
          </w:p>
        </w:tc>
        <w:tc>
          <w:tcPr>
            <w:tcW w:w="473" w:type="dxa"/>
            <w:vMerge w:val="continue"/>
            <w:tcBorders>
              <w:top w:val="nil"/>
              <w:bottom w:val="nil"/>
            </w:tcBorders>
          </w:tcPr>
          <w:p>
            <w:pPr>
              <w:jc w:val="left"/>
              <w:rPr>
                <w:rFonts w:ascii="Arial" w:hAnsi="Arial" w:cs="Arial"/>
              </w:rPr>
            </w:pPr>
          </w:p>
        </w:tc>
        <w:tc>
          <w:tcPr>
            <w:tcW w:w="634" w:type="dxa"/>
            <w:gridSpan w:val="3"/>
            <w:vMerge w:val="continue"/>
            <w:tcBorders>
              <w:top w:val="nil"/>
              <w:bottom w:val="nil"/>
            </w:tcBorders>
          </w:tcPr>
          <w:p>
            <w:pPr>
              <w:jc w:val="left"/>
              <w:rPr>
                <w:rFonts w:ascii="Arial" w:hAnsi="Arial" w:cs="Arial"/>
              </w:rPr>
            </w:pPr>
          </w:p>
        </w:tc>
        <w:tc>
          <w:tcPr>
            <w:tcW w:w="3460" w:type="dxa"/>
            <w:gridSpan w:val="5"/>
            <w:vMerge w:val="continue"/>
            <w:tcBorders>
              <w:top w:val="nil"/>
              <w:bottom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4162" w:type="dxa"/>
            <w:gridSpan w:val="7"/>
          </w:tcPr>
          <w:p>
            <w:pPr>
              <w:pStyle w:val="20"/>
              <w:spacing w:before="116" w:line="152" w:lineRule="exact"/>
              <w:ind w:left="125"/>
              <w:rPr>
                <w:rFonts w:hint="eastAsia"/>
              </w:rPr>
            </w:pPr>
            <w:r>
              <w:rPr>
                <w:position w:val="-2"/>
              </w:rPr>
              <w:drawing>
                <wp:inline distT="0" distB="0" distL="0" distR="0">
                  <wp:extent cx="103505" cy="8763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104139" cy="88158"/>
                          </a:xfrm>
                          <a:prstGeom prst="rect">
                            <a:avLst/>
                          </a:prstGeom>
                        </pic:spPr>
                      </pic:pic>
                    </a:graphicData>
                  </a:graphic>
                </wp:inline>
              </w:drawing>
            </w:r>
            <w:r>
              <w:rPr>
                <w:spacing w:val="3"/>
                <w:position w:val="-1"/>
              </w:rPr>
              <w:t xml:space="preserve">   </w:t>
            </w:r>
            <w:r>
              <w:rPr>
                <w:spacing w:val="-2"/>
                <w:position w:val="-1"/>
              </w:rPr>
              <w:t xml:space="preserve">T.2  </w:t>
            </w:r>
            <w:r>
              <w:rPr>
                <w:rFonts w:ascii="宋体" w:hAnsi="宋体" w:eastAsia="宋体" w:cs="宋体"/>
                <w:spacing w:val="-2"/>
                <w:position w:val="-1"/>
              </w:rPr>
              <w:t>温度试验</w:t>
            </w:r>
            <w:r>
              <w:rPr>
                <w:rFonts w:ascii="宋体" w:hAnsi="宋体" w:eastAsia="宋体" w:cs="宋体"/>
                <w:spacing w:val="-38"/>
                <w:position w:val="-1"/>
              </w:rPr>
              <w:t xml:space="preserve"> </w:t>
            </w:r>
            <w:r>
              <w:rPr>
                <w:spacing w:val="-2"/>
                <w:position w:val="-1"/>
              </w:rPr>
              <w:t>Thermal Test</w:t>
            </w:r>
          </w:p>
        </w:tc>
        <w:tc>
          <w:tcPr>
            <w:tcW w:w="239" w:type="dxa"/>
          </w:tcPr>
          <w:p>
            <w:pPr>
              <w:jc w:val="left"/>
              <w:rPr>
                <w:rFonts w:ascii="Arial" w:hAnsi="Arial" w:cs="Arial"/>
              </w:rPr>
            </w:pPr>
          </w:p>
        </w:tc>
        <w:tc>
          <w:tcPr>
            <w:tcW w:w="164" w:type="dxa"/>
          </w:tcPr>
          <w:p>
            <w:pPr>
              <w:jc w:val="left"/>
              <w:rPr>
                <w:rFonts w:ascii="Arial" w:hAnsi="Arial" w:cs="Arial"/>
              </w:rPr>
            </w:pPr>
            <w:r>
              <w:rPr>
                <w:rFonts w:ascii="Arial" w:hAnsi="Arial" w:cs="Arial"/>
              </w:rPr>
              <mc:AlternateContent>
                <mc:Choice Requires="wps">
                  <w:drawing>
                    <wp:anchor distT="0" distB="0" distL="114300" distR="114300" simplePos="0" relativeHeight="251661312" behindDoc="0" locked="0" layoutInCell="1" allowOverlap="1">
                      <wp:simplePos x="0" y="0"/>
                      <wp:positionH relativeFrom="rightMargin">
                        <wp:posOffset>-101600</wp:posOffset>
                      </wp:positionH>
                      <wp:positionV relativeFrom="topMargin">
                        <wp:posOffset>74295</wp:posOffset>
                      </wp:positionV>
                      <wp:extent cx="104140" cy="0"/>
                      <wp:effectExtent l="6350" t="6350" r="6350" b="6350"/>
                      <wp:wrapNone/>
                      <wp:docPr id="211" name="任意多边形 211"/>
                      <wp:cNvGraphicFramePr/>
                      <a:graphic xmlns:a="http://schemas.openxmlformats.org/drawingml/2006/main">
                        <a:graphicData uri="http://schemas.microsoft.com/office/word/2010/wordprocessingShape">
                          <wps:wsp>
                            <wps:cNvSpPr/>
                            <wps:spPr>
                              <a:xfrm>
                                <a:off x="0" y="0"/>
                                <a:ext cx="104140" cy="0"/>
                              </a:xfrm>
                              <a:custGeom>
                                <a:avLst/>
                                <a:gdLst/>
                                <a:ahLst/>
                                <a:cxnLst/>
                                <a:rect l="0" t="0" r="0" b="0"/>
                                <a:pathLst>
                                  <a:path w="163">
                                    <a:moveTo>
                                      <a:pt x="0" y="0"/>
                                    </a:moveTo>
                                    <a:lnTo>
                                      <a:pt x="163"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6.1pt;height:0pt;width:8.2pt;mso-position-horizontal-relative:page;mso-position-vertical-relative:page;z-index:251661312;mso-width-relative:page;mso-height-relative:page;" filled="f" stroked="t" coordsize="163,1" o:gfxdata="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O2oYXSAAAABgEAAA8AAAAAAAAAAQAg&#10;AAAAIgAAAGRycy9kb3ducmV2LnhtbFBLAQIUABQAAAAIAIdO4kA+NzOZFAIAAFsEAAAOAAAAAAAA&#10;AAEAIAAAACEBAABkcnMvZTJvRG9jLnhtbFBLBQYAAAAABgAGAFkBAACnBQAAAAA=&#10;" path="m0,0l163,0e">
                      <v:fill on="f" focussize="0,0"/>
                      <v:stroke weight="0pt" color="#000000" joinstyle="bevel" endcap="square"/>
                      <v:imagedata o:title=""/>
                      <o:lock v:ext="edit" aspectratio="f"/>
                    </v:shape>
                  </w:pict>
                </mc:Fallback>
              </mc:AlternateContent>
            </w:r>
          </w:p>
        </w:tc>
        <w:tc>
          <w:tcPr>
            <w:tcW w:w="276" w:type="dxa"/>
            <w:gridSpan w:val="2"/>
          </w:tcPr>
          <w:p>
            <w:pPr>
              <w:jc w:val="left"/>
              <w:rPr>
                <w:rFonts w:ascii="Arial" w:hAnsi="Arial" w:cs="Arial"/>
              </w:rPr>
            </w:pPr>
          </w:p>
        </w:tc>
        <w:tc>
          <w:tcPr>
            <w:tcW w:w="217" w:type="dxa"/>
            <w:gridSpan w:val="2"/>
          </w:tcPr>
          <w:p>
            <w:pPr>
              <w:jc w:val="left"/>
              <w:rPr>
                <w:rFonts w:ascii="Arial" w:hAnsi="Arial" w:cs="Arial"/>
              </w:rPr>
            </w:pPr>
          </w:p>
        </w:tc>
        <w:tc>
          <w:tcPr>
            <w:tcW w:w="173" w:type="dxa"/>
            <w:gridSpan w:val="2"/>
          </w:tcPr>
          <w:p>
            <w:pPr>
              <w:jc w:val="left"/>
              <w:rPr>
                <w:rFonts w:ascii="Arial" w:hAnsi="Arial" w:cs="Arial"/>
              </w:rPr>
            </w:pPr>
            <w:r>
              <w:rPr>
                <w:rFonts w:ascii="Arial" w:hAnsi="Arial" w:cs="Arial"/>
              </w:rPr>
              <mc:AlternateContent>
                <mc:Choice Requires="wps">
                  <w:drawing>
                    <wp:anchor distT="0" distB="0" distL="114300" distR="114300" simplePos="0" relativeHeight="251662336" behindDoc="0" locked="0" layoutInCell="1" allowOverlap="1">
                      <wp:simplePos x="0" y="0"/>
                      <wp:positionH relativeFrom="rightMargin">
                        <wp:posOffset>-107315</wp:posOffset>
                      </wp:positionH>
                      <wp:positionV relativeFrom="topMargin">
                        <wp:posOffset>74295</wp:posOffset>
                      </wp:positionV>
                      <wp:extent cx="104775" cy="0"/>
                      <wp:effectExtent l="6350" t="6350" r="5715" b="6350"/>
                      <wp:wrapNone/>
                      <wp:docPr id="212" name="任意多边形 212"/>
                      <wp:cNvGraphicFramePr/>
                      <a:graphic xmlns:a="http://schemas.openxmlformats.org/drawingml/2006/main">
                        <a:graphicData uri="http://schemas.microsoft.com/office/word/2010/wordprocessingShape">
                          <wps:wsp>
                            <wps:cNvSpPr/>
                            <wps:spPr>
                              <a:xfrm>
                                <a:off x="0" y="0"/>
                                <a:ext cx="104775" cy="0"/>
                              </a:xfrm>
                              <a:custGeom>
                                <a:avLst/>
                                <a:gdLst/>
                                <a:ahLst/>
                                <a:cxnLst/>
                                <a:rect l="0" t="0" r="0" b="0"/>
                                <a:pathLst>
                                  <a:path w="165">
                                    <a:moveTo>
                                      <a:pt x="0" y="0"/>
                                    </a:moveTo>
                                    <a:lnTo>
                                      <a:pt x="164"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6.1pt;height:0pt;width:8.25pt;mso-position-horizontal-relative:page;mso-position-vertical-relative:page;z-index:251662336;mso-width-relative:page;mso-height-relative:page;" filled="f" stroked="t" coordsize="165,1" o:gfxdata="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qTlnPUAAAABwEAAA8AAAAA&#10;AAAAAQAgAAAAIgAAAGRycy9kb3ducmV2LnhtbFBLAQIUABQAAAAIAIdO4kCUPQVvGAIAAFsEAAAO&#10;AAAAAAAAAAEAIAAAACMBAABkcnMvZTJvRG9jLnhtbFBLBQYAAAAABgAGAFkBAACtBQAAAAA=&#10;" path="m0,0l164,0e">
                      <v:fill on="f" focussize="0,0"/>
                      <v:stroke weight="0pt" color="#000000" joinstyle="bevel" endcap="square"/>
                      <v:imagedata o:title=""/>
                      <o:lock v:ext="edit" aspectratio="f"/>
                    </v:shape>
                  </w:pict>
                </mc:Fallback>
              </mc:AlternateContent>
            </w:r>
          </w:p>
        </w:tc>
        <w:tc>
          <w:tcPr>
            <w:tcW w:w="253" w:type="dxa"/>
          </w:tcPr>
          <w:p>
            <w:pPr>
              <w:jc w:val="left"/>
              <w:rPr>
                <w:rFonts w:ascii="Arial" w:hAnsi="Arial" w:cs="Arial"/>
              </w:rPr>
            </w:pPr>
          </w:p>
        </w:tc>
        <w:tc>
          <w:tcPr>
            <w:tcW w:w="473" w:type="dxa"/>
            <w:vMerge w:val="continue"/>
            <w:tcBorders>
              <w:top w:val="nil"/>
              <w:bottom w:val="nil"/>
            </w:tcBorders>
          </w:tcPr>
          <w:p>
            <w:pPr>
              <w:jc w:val="left"/>
              <w:rPr>
                <w:rFonts w:ascii="Arial" w:hAnsi="Arial" w:cs="Arial"/>
              </w:rPr>
            </w:pPr>
          </w:p>
        </w:tc>
        <w:tc>
          <w:tcPr>
            <w:tcW w:w="634" w:type="dxa"/>
            <w:gridSpan w:val="3"/>
            <w:vMerge w:val="continue"/>
            <w:tcBorders>
              <w:top w:val="nil"/>
            </w:tcBorders>
          </w:tcPr>
          <w:p>
            <w:pPr>
              <w:jc w:val="left"/>
              <w:rPr>
                <w:rFonts w:ascii="Arial" w:hAnsi="Arial" w:cs="Arial"/>
              </w:rPr>
            </w:pPr>
          </w:p>
        </w:tc>
        <w:tc>
          <w:tcPr>
            <w:tcW w:w="3460" w:type="dxa"/>
            <w:gridSpan w:val="5"/>
            <w:vMerge w:val="continue"/>
            <w:tcBorders>
              <w:top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4162" w:type="dxa"/>
            <w:gridSpan w:val="7"/>
          </w:tcPr>
          <w:p>
            <w:pPr>
              <w:pStyle w:val="20"/>
              <w:spacing w:before="101" w:line="152" w:lineRule="exact"/>
              <w:ind w:left="125"/>
              <w:rPr>
                <w:rFonts w:hint="eastAsia"/>
              </w:rPr>
            </w:pPr>
            <w:r>
              <w:rPr>
                <w:position w:val="-2"/>
              </w:rPr>
              <w:drawing>
                <wp:inline distT="0" distB="0" distL="0" distR="0">
                  <wp:extent cx="103505" cy="882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04139" cy="88286"/>
                          </a:xfrm>
                          <a:prstGeom prst="rect">
                            <a:avLst/>
                          </a:prstGeom>
                        </pic:spPr>
                      </pic:pic>
                    </a:graphicData>
                  </a:graphic>
                </wp:inline>
              </w:drawing>
            </w:r>
            <w:r>
              <w:rPr>
                <w:spacing w:val="3"/>
                <w:position w:val="-1"/>
              </w:rPr>
              <w:t xml:space="preserve">   </w:t>
            </w:r>
            <w:r>
              <w:rPr>
                <w:spacing w:val="-2"/>
                <w:position w:val="-1"/>
              </w:rPr>
              <w:t xml:space="preserve">T.3  </w:t>
            </w:r>
            <w:r>
              <w:rPr>
                <w:rFonts w:ascii="宋体" w:hAnsi="宋体" w:eastAsia="宋体" w:cs="宋体"/>
                <w:spacing w:val="-2"/>
                <w:position w:val="-1"/>
              </w:rPr>
              <w:t>振动</w:t>
            </w:r>
            <w:r>
              <w:rPr>
                <w:rFonts w:ascii="宋体" w:hAnsi="宋体" w:eastAsia="宋体" w:cs="宋体"/>
                <w:spacing w:val="-41"/>
                <w:position w:val="-1"/>
              </w:rPr>
              <w:t xml:space="preserve"> </w:t>
            </w:r>
            <w:r>
              <w:rPr>
                <w:spacing w:val="-2"/>
                <w:position w:val="-1"/>
              </w:rPr>
              <w:t>Vibration</w:t>
            </w:r>
          </w:p>
        </w:tc>
        <w:tc>
          <w:tcPr>
            <w:tcW w:w="239" w:type="dxa"/>
          </w:tcPr>
          <w:p>
            <w:pPr>
              <w:jc w:val="left"/>
              <w:rPr>
                <w:rFonts w:ascii="Arial" w:hAnsi="Arial" w:cs="Arial"/>
              </w:rPr>
            </w:pPr>
          </w:p>
        </w:tc>
        <w:tc>
          <w:tcPr>
            <w:tcW w:w="164" w:type="dxa"/>
          </w:tcPr>
          <w:p>
            <w:pPr>
              <w:jc w:val="left"/>
              <w:rPr>
                <w:rFonts w:ascii="Arial" w:hAnsi="Arial" w:cs="Arial"/>
              </w:rPr>
            </w:pPr>
            <w:r>
              <w:rPr>
                <w:rFonts w:ascii="Arial" w:hAnsi="Arial" w:cs="Arial"/>
              </w:rPr>
              <mc:AlternateContent>
                <mc:Choice Requires="wps">
                  <w:drawing>
                    <wp:anchor distT="0" distB="0" distL="114300" distR="114300" simplePos="0" relativeHeight="251663360" behindDoc="0" locked="0" layoutInCell="1" allowOverlap="1">
                      <wp:simplePos x="0" y="0"/>
                      <wp:positionH relativeFrom="rightMargin">
                        <wp:posOffset>-101600</wp:posOffset>
                      </wp:positionH>
                      <wp:positionV relativeFrom="topMargin">
                        <wp:posOffset>64770</wp:posOffset>
                      </wp:positionV>
                      <wp:extent cx="104140" cy="0"/>
                      <wp:effectExtent l="6350" t="6350" r="6350" b="6350"/>
                      <wp:wrapNone/>
                      <wp:docPr id="218" name="任意多边形 218"/>
                      <wp:cNvGraphicFramePr/>
                      <a:graphic xmlns:a="http://schemas.openxmlformats.org/drawingml/2006/main">
                        <a:graphicData uri="http://schemas.microsoft.com/office/word/2010/wordprocessingShape">
                          <wps:wsp>
                            <wps:cNvSpPr/>
                            <wps:spPr>
                              <a:xfrm>
                                <a:off x="0" y="0"/>
                                <a:ext cx="104140" cy="0"/>
                              </a:xfrm>
                              <a:custGeom>
                                <a:avLst/>
                                <a:gdLst/>
                                <a:ahLst/>
                                <a:cxnLst/>
                                <a:rect l="0" t="0" r="0" b="0"/>
                                <a:pathLst>
                                  <a:path w="163">
                                    <a:moveTo>
                                      <a:pt x="0" y="0"/>
                                    </a:moveTo>
                                    <a:lnTo>
                                      <a:pt x="163"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35pt;height:0pt;width:8.2pt;mso-position-horizontal-relative:page;mso-position-vertical-relative:page;z-index:251663360;mso-width-relative:page;mso-height-relative:page;" filled="f" stroked="t" coordsize="163,1" o:gfxdata="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aC9hfRAAAABgEAAA8AAAAAAAAAAQAg&#10;AAAAIgAAAGRycy9kb3ducmV2LnhtbFBLAQIUABQAAAAIAIdO4kBDU+oWFQIAAFsEAAAOAAAAAAAA&#10;AAEAIAAAACABAABkcnMvZTJvRG9jLnhtbFBLBQYAAAAABgAGAFkBAACnBQAAAAA=&#10;" path="m0,0l163,0e">
                      <v:fill on="f" focussize="0,0"/>
                      <v:stroke weight="0pt" color="#000000" joinstyle="bevel" endcap="square"/>
                      <v:imagedata o:title=""/>
                      <o:lock v:ext="edit" aspectratio="f"/>
                    </v:shape>
                  </w:pict>
                </mc:Fallback>
              </mc:AlternateContent>
            </w:r>
          </w:p>
        </w:tc>
        <w:tc>
          <w:tcPr>
            <w:tcW w:w="276" w:type="dxa"/>
            <w:gridSpan w:val="2"/>
          </w:tcPr>
          <w:p>
            <w:pPr>
              <w:jc w:val="left"/>
              <w:rPr>
                <w:rFonts w:ascii="Arial" w:hAnsi="Arial" w:cs="Arial"/>
              </w:rPr>
            </w:pPr>
          </w:p>
        </w:tc>
        <w:tc>
          <w:tcPr>
            <w:tcW w:w="217" w:type="dxa"/>
            <w:gridSpan w:val="2"/>
          </w:tcPr>
          <w:p>
            <w:pPr>
              <w:jc w:val="left"/>
              <w:rPr>
                <w:rFonts w:ascii="Arial" w:hAnsi="Arial" w:cs="Arial"/>
              </w:rPr>
            </w:pPr>
          </w:p>
        </w:tc>
        <w:tc>
          <w:tcPr>
            <w:tcW w:w="173" w:type="dxa"/>
            <w:gridSpan w:val="2"/>
          </w:tcPr>
          <w:p>
            <w:pPr>
              <w:jc w:val="left"/>
              <w:rPr>
                <w:rFonts w:ascii="Arial" w:hAnsi="Arial" w:cs="Arial"/>
              </w:rPr>
            </w:pPr>
            <w:r>
              <w:rPr>
                <w:rFonts w:ascii="Arial" w:hAnsi="Arial" w:cs="Arial"/>
              </w:rPr>
              <mc:AlternateContent>
                <mc:Choice Requires="wps">
                  <w:drawing>
                    <wp:anchor distT="0" distB="0" distL="114300" distR="114300" simplePos="0" relativeHeight="251664384" behindDoc="0" locked="0" layoutInCell="1" allowOverlap="1">
                      <wp:simplePos x="0" y="0"/>
                      <wp:positionH relativeFrom="rightMargin">
                        <wp:posOffset>-107315</wp:posOffset>
                      </wp:positionH>
                      <wp:positionV relativeFrom="topMargin">
                        <wp:posOffset>64770</wp:posOffset>
                      </wp:positionV>
                      <wp:extent cx="104775" cy="0"/>
                      <wp:effectExtent l="6350" t="6350" r="5715" b="6350"/>
                      <wp:wrapNone/>
                      <wp:docPr id="205" name="任意多边形 205"/>
                      <wp:cNvGraphicFramePr/>
                      <a:graphic xmlns:a="http://schemas.openxmlformats.org/drawingml/2006/main">
                        <a:graphicData uri="http://schemas.microsoft.com/office/word/2010/wordprocessingShape">
                          <wps:wsp>
                            <wps:cNvSpPr/>
                            <wps:spPr>
                              <a:xfrm>
                                <a:off x="0" y="0"/>
                                <a:ext cx="104775" cy="0"/>
                              </a:xfrm>
                              <a:custGeom>
                                <a:avLst/>
                                <a:gdLst/>
                                <a:ahLst/>
                                <a:cxnLst/>
                                <a:rect l="0" t="0" r="0" b="0"/>
                                <a:pathLst>
                                  <a:path w="165">
                                    <a:moveTo>
                                      <a:pt x="0" y="0"/>
                                    </a:moveTo>
                                    <a:lnTo>
                                      <a:pt x="164"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35pt;height:0pt;width:8.25pt;mso-position-horizontal-relative:page;mso-position-vertical-relative:page;z-index:251664384;mso-width-relative:page;mso-height-relative:page;" filled="f" stroked="t" coordsize="165,1" o:gfxdata="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CduUdMAAAAHAQAADwAAAAAA&#10;AAABACAAAAAiAAAAZHJzL2Rvd25yZXYueG1sUEsBAhQAFAAAAAgAh07iQDsHKCwYAgAAWwQAAA4A&#10;AAAAAAAAAQAgAAAAIgEAAGRycy9lMm9Eb2MueG1sUEsFBgAAAAAGAAYAWQEAAKwFAAAAAA==&#10;" path="m0,0l164,0e">
                      <v:fill on="f" focussize="0,0"/>
                      <v:stroke weight="0pt" color="#000000" joinstyle="bevel" endcap="square"/>
                      <v:imagedata o:title=""/>
                      <o:lock v:ext="edit" aspectratio="f"/>
                    </v:shape>
                  </w:pict>
                </mc:Fallback>
              </mc:AlternateContent>
            </w:r>
          </w:p>
        </w:tc>
        <w:tc>
          <w:tcPr>
            <w:tcW w:w="253" w:type="dxa"/>
          </w:tcPr>
          <w:p>
            <w:pPr>
              <w:jc w:val="left"/>
              <w:rPr>
                <w:rFonts w:ascii="Arial" w:hAnsi="Arial" w:cs="Arial"/>
              </w:rPr>
            </w:pPr>
          </w:p>
        </w:tc>
        <w:tc>
          <w:tcPr>
            <w:tcW w:w="473" w:type="dxa"/>
            <w:vMerge w:val="continue"/>
            <w:tcBorders>
              <w:top w:val="nil"/>
              <w:bottom w:val="nil"/>
            </w:tcBorders>
          </w:tcPr>
          <w:p>
            <w:pPr>
              <w:jc w:val="left"/>
              <w:rPr>
                <w:rFonts w:ascii="Arial" w:hAnsi="Arial" w:cs="Arial"/>
              </w:rPr>
            </w:pPr>
          </w:p>
        </w:tc>
        <w:tc>
          <w:tcPr>
            <w:tcW w:w="634" w:type="dxa"/>
            <w:gridSpan w:val="3"/>
            <w:vMerge w:val="restart"/>
            <w:tcBorders>
              <w:bottom w:val="nil"/>
            </w:tcBorders>
          </w:tcPr>
          <w:p>
            <w:pPr>
              <w:spacing w:before="238" w:line="164" w:lineRule="exact"/>
              <w:ind w:firstLine="207"/>
              <w:jc w:val="left"/>
              <w:rPr>
                <w:rFonts w:ascii="Arial" w:hAnsi="Arial" w:cs="Arial"/>
              </w:rPr>
            </w:pPr>
            <w:r>
              <w:rPr>
                <w:rFonts w:ascii="Arial" w:hAnsi="Arial" w:cs="Arial"/>
                <w:position w:val="-3"/>
              </w:rPr>
              <mc:AlternateContent>
                <mc:Choice Requires="wps">
                  <w:drawing>
                    <wp:inline distT="0" distB="0" distL="114300" distR="114300">
                      <wp:extent cx="104775" cy="104775"/>
                      <wp:effectExtent l="6350" t="6350" r="15875" b="15875"/>
                      <wp:docPr id="206" name="任意多边形 206"/>
                      <wp:cNvGraphicFramePr/>
                      <a:graphic xmlns:a="http://schemas.openxmlformats.org/drawingml/2006/main">
                        <a:graphicData uri="http://schemas.microsoft.com/office/word/2010/wordprocessingShape">
                          <wps:wsp>
                            <wps:cNvSpPr/>
                            <wps:spPr>
                              <a:xfrm>
                                <a:off x="0" y="0"/>
                                <a:ext cx="104775" cy="104775"/>
                              </a:xfrm>
                              <a:custGeom>
                                <a:avLst/>
                                <a:gdLst/>
                                <a:ahLst/>
                                <a:cxnLst/>
                                <a:rect l="0" t="0" r="0" b="0"/>
                                <a:pathLst>
                                  <a:path w="165" h="165">
                                    <a:moveTo>
                                      <a:pt x="0" y="0"/>
                                    </a:moveTo>
                                    <a:lnTo>
                                      <a:pt x="164" y="0"/>
                                    </a:lnTo>
                                    <a:lnTo>
                                      <a:pt x="164" y="164"/>
                                    </a:lnTo>
                                    <a:lnTo>
                                      <a:pt x="0" y="164"/>
                                    </a:lnTo>
                                    <a:lnTo>
                                      <a:pt x="0" y="0"/>
                                    </a:lnTo>
                                    <a:close/>
                                  </a:path>
                                </a:pathLst>
                              </a:custGeom>
                              <a:noFill/>
                              <a:ln w="0" cap="sq" cmpd="sng">
                                <a:solidFill>
                                  <a:srgbClr val="000000"/>
                                </a:solidFill>
                                <a:prstDash val="solid"/>
                                <a:bevel/>
                                <a:headEnd type="none" w="med" len="med"/>
                                <a:tailEnd type="none" w="med" len="med"/>
                              </a:ln>
                            </wps:spPr>
                            <wps:bodyPr upright="1"/>
                          </wps:wsp>
                        </a:graphicData>
                      </a:graphic>
                    </wp:inline>
                  </w:drawing>
                </mc:Choice>
                <mc:Fallback>
                  <w:pict>
                    <v:shape id="_x0000_s1026" o:spid="_x0000_s1026" o:spt="100" style="height:8.25pt;width:8.25pt;" filled="f" stroked="t" coordsize="165,165" o:gfxdata="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N5MWNAAAAADAQAADwAAAAAAAAABACAAAAAiAAAAZHJzL2Rvd25yZXYu&#10;eG1sUEsBAhQAFAAAAAgAh07iQC6pm5Y8AgAA5AQAAA4AAAAAAAAAAQAgAAAAHwEAAGRycy9lMm9E&#10;b2MueG1sUEsFBgAAAAAGAAYAWQEAAM0FAAAAAA==&#10;" path="m0,0l164,0,164,164,0,164,0,0xe">
                      <v:fill on="f" focussize="0,0"/>
                      <v:stroke weight="0pt" color="#000000" joinstyle="bevel" endcap="square"/>
                      <v:imagedata o:title=""/>
                      <o:lock v:ext="edit" aspectratio="f"/>
                      <w10:wrap type="none"/>
                      <w10:anchorlock/>
                    </v:shape>
                  </w:pict>
                </mc:Fallback>
              </mc:AlternateContent>
            </w:r>
          </w:p>
        </w:tc>
        <w:tc>
          <w:tcPr>
            <w:tcW w:w="3460" w:type="dxa"/>
            <w:gridSpan w:val="5"/>
            <w:vMerge w:val="restart"/>
            <w:tcBorders>
              <w:bottom w:val="nil"/>
            </w:tcBorders>
          </w:tcPr>
          <w:p>
            <w:pPr>
              <w:pStyle w:val="20"/>
              <w:spacing w:before="101" w:line="212" w:lineRule="auto"/>
              <w:ind w:left="137"/>
              <w:rPr>
                <w:rFonts w:hint="eastAsia"/>
              </w:rPr>
            </w:pPr>
            <w:r>
              <w:rPr>
                <w:rFonts w:ascii="宋体" w:hAnsi="宋体" w:eastAsia="宋体" w:cs="宋体"/>
              </w:rPr>
              <w:t xml:space="preserve">适用于 </w:t>
            </w:r>
            <w:r>
              <w:t>38.3.3</w:t>
            </w:r>
            <w:r>
              <w:rPr>
                <w:spacing w:val="10"/>
              </w:rPr>
              <w:t xml:space="preserve"> </w:t>
            </w:r>
            <w:r>
              <w:t>(f)</w:t>
            </w:r>
          </w:p>
          <w:p>
            <w:pPr>
              <w:pStyle w:val="20"/>
              <w:spacing w:before="80" w:line="135" w:lineRule="exact"/>
              <w:ind w:left="131"/>
              <w:rPr>
                <w:rFonts w:hint="eastAsia"/>
              </w:rPr>
            </w:pPr>
            <w:r>
              <w:rPr>
                <w:position w:val="1"/>
              </w:rPr>
              <w:t>Applicable</w:t>
            </w:r>
            <w:r>
              <w:rPr>
                <w:spacing w:val="-24"/>
                <w:position w:val="1"/>
              </w:rPr>
              <w:t xml:space="preserve"> </w:t>
            </w:r>
            <w:r>
              <w:rPr>
                <w:rFonts w:ascii="宋体" w:hAnsi="宋体" w:eastAsia="宋体" w:cs="宋体"/>
                <w:position w:val="1"/>
              </w:rPr>
              <w:t>，</w:t>
            </w:r>
            <w:r>
              <w:rPr>
                <w:position w:val="1"/>
              </w:rPr>
              <w:t>reference to 38.3</w:t>
            </w:r>
            <w:r>
              <w:rPr>
                <w:spacing w:val="-1"/>
                <w:position w:val="1"/>
              </w:rPr>
              <w:t>.3 (f)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5" w:hRule="atLeast"/>
        </w:trPr>
        <w:tc>
          <w:tcPr>
            <w:tcW w:w="4162" w:type="dxa"/>
            <w:gridSpan w:val="7"/>
          </w:tcPr>
          <w:p>
            <w:pPr>
              <w:pStyle w:val="20"/>
              <w:spacing w:before="103" w:line="151" w:lineRule="exact"/>
              <w:ind w:left="125"/>
              <w:rPr>
                <w:rFonts w:hint="eastAsia"/>
              </w:rPr>
            </w:pPr>
            <w:r>
              <w:rPr>
                <w:position w:val="-2"/>
              </w:rPr>
              <w:drawing>
                <wp:inline distT="0" distB="0" distL="0" distR="0">
                  <wp:extent cx="103505" cy="86995"/>
                  <wp:effectExtent l="0" t="0" r="0" b="0"/>
                  <wp:docPr id="203" name="IM 16"/>
                  <wp:cNvGraphicFramePr/>
                  <a:graphic xmlns:a="http://schemas.openxmlformats.org/drawingml/2006/main">
                    <a:graphicData uri="http://schemas.openxmlformats.org/drawingml/2006/picture">
                      <pic:pic xmlns:pic="http://schemas.openxmlformats.org/drawingml/2006/picture">
                        <pic:nvPicPr>
                          <pic:cNvPr id="203" name="IM 16"/>
                          <pic:cNvPicPr/>
                        </pic:nvPicPr>
                        <pic:blipFill>
                          <a:blip r:embed="rId13"/>
                          <a:stretch>
                            <a:fillRect/>
                          </a:stretch>
                        </pic:blipFill>
                        <pic:spPr>
                          <a:xfrm>
                            <a:off x="0" y="0"/>
                            <a:ext cx="104139" cy="87579"/>
                          </a:xfrm>
                          <a:prstGeom prst="rect">
                            <a:avLst/>
                          </a:prstGeom>
                        </pic:spPr>
                      </pic:pic>
                    </a:graphicData>
                  </a:graphic>
                </wp:inline>
              </w:drawing>
            </w:r>
            <w:r>
              <w:rPr>
                <w:spacing w:val="5"/>
                <w:position w:val="-1"/>
              </w:rPr>
              <w:t xml:space="preserve">   </w:t>
            </w:r>
            <w:r>
              <w:rPr>
                <w:spacing w:val="-3"/>
                <w:position w:val="-1"/>
              </w:rPr>
              <w:t xml:space="preserve">T.4  </w:t>
            </w:r>
            <w:r>
              <w:rPr>
                <w:rFonts w:ascii="宋体" w:hAnsi="宋体" w:eastAsia="宋体" w:cs="宋体"/>
                <w:spacing w:val="-3"/>
                <w:position w:val="-1"/>
              </w:rPr>
              <w:t>冲击</w:t>
            </w:r>
            <w:r>
              <w:rPr>
                <w:rFonts w:ascii="宋体" w:hAnsi="宋体" w:eastAsia="宋体" w:cs="宋体"/>
                <w:spacing w:val="-32"/>
                <w:position w:val="-1"/>
              </w:rPr>
              <w:t xml:space="preserve"> </w:t>
            </w:r>
            <w:r>
              <w:rPr>
                <w:spacing w:val="-3"/>
                <w:position w:val="-1"/>
              </w:rPr>
              <w:t>Shock</w:t>
            </w:r>
          </w:p>
        </w:tc>
        <w:tc>
          <w:tcPr>
            <w:tcW w:w="239" w:type="dxa"/>
          </w:tcPr>
          <w:p>
            <w:pPr>
              <w:jc w:val="left"/>
              <w:rPr>
                <w:rFonts w:ascii="Arial" w:hAnsi="Arial" w:cs="Arial"/>
              </w:rPr>
            </w:pPr>
          </w:p>
        </w:tc>
        <w:tc>
          <w:tcPr>
            <w:tcW w:w="164" w:type="dxa"/>
          </w:tcPr>
          <w:p>
            <w:pPr>
              <w:jc w:val="left"/>
              <w:rPr>
                <w:rFonts w:ascii="Arial" w:hAnsi="Arial" w:cs="Arial"/>
              </w:rPr>
            </w:pPr>
            <w:r>
              <w:rPr>
                <w:rFonts w:ascii="Arial" w:hAnsi="Arial" w:cs="Arial"/>
              </w:rPr>
              <mc:AlternateContent>
                <mc:Choice Requires="wps">
                  <w:drawing>
                    <wp:anchor distT="0" distB="0" distL="114300" distR="114300" simplePos="0" relativeHeight="251665408" behindDoc="0" locked="0" layoutInCell="1" allowOverlap="1">
                      <wp:simplePos x="0" y="0"/>
                      <wp:positionH relativeFrom="rightMargin">
                        <wp:posOffset>-101600</wp:posOffset>
                      </wp:positionH>
                      <wp:positionV relativeFrom="topMargin">
                        <wp:posOffset>66040</wp:posOffset>
                      </wp:positionV>
                      <wp:extent cx="104140" cy="0"/>
                      <wp:effectExtent l="6350" t="6350" r="6350" b="6350"/>
                      <wp:wrapNone/>
                      <wp:docPr id="207" name="任意多边形 207"/>
                      <wp:cNvGraphicFramePr/>
                      <a:graphic xmlns:a="http://schemas.openxmlformats.org/drawingml/2006/main">
                        <a:graphicData uri="http://schemas.microsoft.com/office/word/2010/wordprocessingShape">
                          <wps:wsp>
                            <wps:cNvSpPr/>
                            <wps:spPr>
                              <a:xfrm>
                                <a:off x="0" y="0"/>
                                <a:ext cx="104140" cy="0"/>
                              </a:xfrm>
                              <a:custGeom>
                                <a:avLst/>
                                <a:gdLst/>
                                <a:ahLst/>
                                <a:cxnLst/>
                                <a:rect l="0" t="0" r="0" b="0"/>
                                <a:pathLst>
                                  <a:path w="163">
                                    <a:moveTo>
                                      <a:pt x="0" y="0"/>
                                    </a:moveTo>
                                    <a:lnTo>
                                      <a:pt x="163"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45pt;height:0pt;width:8.2pt;mso-position-horizontal-relative:page;mso-position-vertical-relative:page;z-index:251665408;mso-width-relative:page;mso-height-relative:page;" filled="f" stroked="t" coordsize="163,1" o:gfxdata="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rBTzRAAAABgEAAA8AAAAAAAAAAQAg&#10;AAAAIgAAAGRycy9kb3ducmV2LnhtbFBLAQIUABQAAAAIAIdO4kBNSWT1FQIAAFsEAAAOAAAAAAAA&#10;AAEAIAAAACABAABkcnMvZTJvRG9jLnhtbFBLBQYAAAAABgAGAFkBAACnBQAAAAA=&#10;" path="m0,0l163,0e">
                      <v:fill on="f" focussize="0,0"/>
                      <v:stroke weight="0pt" color="#000000" joinstyle="bevel" endcap="square"/>
                      <v:imagedata o:title=""/>
                      <o:lock v:ext="edit" aspectratio="f"/>
                    </v:shape>
                  </w:pict>
                </mc:Fallback>
              </mc:AlternateContent>
            </w:r>
          </w:p>
        </w:tc>
        <w:tc>
          <w:tcPr>
            <w:tcW w:w="276" w:type="dxa"/>
            <w:gridSpan w:val="2"/>
          </w:tcPr>
          <w:p>
            <w:pPr>
              <w:jc w:val="left"/>
              <w:rPr>
                <w:rFonts w:ascii="Arial" w:hAnsi="Arial" w:cs="Arial"/>
              </w:rPr>
            </w:pPr>
          </w:p>
        </w:tc>
        <w:tc>
          <w:tcPr>
            <w:tcW w:w="217" w:type="dxa"/>
            <w:gridSpan w:val="2"/>
          </w:tcPr>
          <w:p>
            <w:pPr>
              <w:jc w:val="left"/>
              <w:rPr>
                <w:rFonts w:ascii="Arial" w:hAnsi="Arial" w:cs="Arial"/>
              </w:rPr>
            </w:pPr>
          </w:p>
        </w:tc>
        <w:tc>
          <w:tcPr>
            <w:tcW w:w="173" w:type="dxa"/>
            <w:gridSpan w:val="2"/>
          </w:tcPr>
          <w:p>
            <w:pPr>
              <w:jc w:val="left"/>
              <w:rPr>
                <w:rFonts w:ascii="Arial" w:hAnsi="Arial" w:cs="Arial"/>
              </w:rPr>
            </w:pPr>
            <w:r>
              <w:rPr>
                <w:rFonts w:ascii="Arial" w:hAnsi="Arial" w:cs="Arial"/>
              </w:rPr>
              <mc:AlternateContent>
                <mc:Choice Requires="wps">
                  <w:drawing>
                    <wp:anchor distT="0" distB="0" distL="114300" distR="114300" simplePos="0" relativeHeight="251668480" behindDoc="0" locked="0" layoutInCell="1" allowOverlap="1">
                      <wp:simplePos x="0" y="0"/>
                      <wp:positionH relativeFrom="rightMargin">
                        <wp:posOffset>-107315</wp:posOffset>
                      </wp:positionH>
                      <wp:positionV relativeFrom="topMargin">
                        <wp:posOffset>66040</wp:posOffset>
                      </wp:positionV>
                      <wp:extent cx="104775" cy="0"/>
                      <wp:effectExtent l="6350" t="6350" r="5715" b="6350"/>
                      <wp:wrapNone/>
                      <wp:docPr id="208" name="任意多边形 208"/>
                      <wp:cNvGraphicFramePr/>
                      <a:graphic xmlns:a="http://schemas.openxmlformats.org/drawingml/2006/main">
                        <a:graphicData uri="http://schemas.microsoft.com/office/word/2010/wordprocessingShape">
                          <wps:wsp>
                            <wps:cNvSpPr/>
                            <wps:spPr>
                              <a:xfrm>
                                <a:off x="0" y="0"/>
                                <a:ext cx="104775" cy="0"/>
                              </a:xfrm>
                              <a:custGeom>
                                <a:avLst/>
                                <a:gdLst/>
                                <a:ahLst/>
                                <a:cxnLst/>
                                <a:rect l="0" t="0" r="0" b="0"/>
                                <a:pathLst>
                                  <a:path w="165">
                                    <a:moveTo>
                                      <a:pt x="0" y="0"/>
                                    </a:moveTo>
                                    <a:lnTo>
                                      <a:pt x="164"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45pt;height:0pt;width:8.25pt;mso-position-horizontal-relative:page;mso-position-vertical-relative:page;z-index:251668480;mso-width-relative:page;mso-height-relative:page;" filled="f" stroked="t" coordsize="165,1" o:gfxdata="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fKvxfUAAAABwEAAA8AAAAA&#10;AAAAAQAgAAAAIgAAAGRycy9kb3ducmV2LnhtbFBLAQIUABQAAAAIAIdO4kA2cBgeGAIAAFsEAAAO&#10;AAAAAAAAAAEAIAAAACMBAABkcnMvZTJvRG9jLnhtbFBLBQYAAAAABgAGAFkBAACtBQAAAAA=&#10;" path="m0,0l164,0e">
                      <v:fill on="f" focussize="0,0"/>
                      <v:stroke weight="0pt" color="#000000" joinstyle="bevel" endcap="square"/>
                      <v:imagedata o:title=""/>
                      <o:lock v:ext="edit" aspectratio="f"/>
                    </v:shape>
                  </w:pict>
                </mc:Fallback>
              </mc:AlternateContent>
            </w:r>
          </w:p>
        </w:tc>
        <w:tc>
          <w:tcPr>
            <w:tcW w:w="253" w:type="dxa"/>
          </w:tcPr>
          <w:p>
            <w:pPr>
              <w:jc w:val="left"/>
              <w:rPr>
                <w:rFonts w:ascii="Arial" w:hAnsi="Arial" w:cs="Arial"/>
              </w:rPr>
            </w:pPr>
          </w:p>
        </w:tc>
        <w:tc>
          <w:tcPr>
            <w:tcW w:w="473" w:type="dxa"/>
            <w:vMerge w:val="continue"/>
            <w:tcBorders>
              <w:top w:val="nil"/>
              <w:bottom w:val="nil"/>
            </w:tcBorders>
          </w:tcPr>
          <w:p>
            <w:pPr>
              <w:jc w:val="left"/>
              <w:rPr>
                <w:rFonts w:ascii="Arial" w:hAnsi="Arial" w:cs="Arial"/>
              </w:rPr>
            </w:pPr>
          </w:p>
        </w:tc>
        <w:tc>
          <w:tcPr>
            <w:tcW w:w="634" w:type="dxa"/>
            <w:gridSpan w:val="3"/>
            <w:vMerge w:val="continue"/>
            <w:tcBorders>
              <w:top w:val="nil"/>
            </w:tcBorders>
          </w:tcPr>
          <w:p>
            <w:pPr>
              <w:jc w:val="left"/>
              <w:rPr>
                <w:rFonts w:ascii="Arial" w:hAnsi="Arial" w:cs="Arial"/>
              </w:rPr>
            </w:pPr>
          </w:p>
        </w:tc>
        <w:tc>
          <w:tcPr>
            <w:tcW w:w="3460" w:type="dxa"/>
            <w:gridSpan w:val="5"/>
            <w:vMerge w:val="continue"/>
            <w:tcBorders>
              <w:top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5" w:hRule="atLeast"/>
        </w:trPr>
        <w:tc>
          <w:tcPr>
            <w:tcW w:w="4162" w:type="dxa"/>
            <w:gridSpan w:val="7"/>
          </w:tcPr>
          <w:p>
            <w:pPr>
              <w:pStyle w:val="20"/>
              <w:spacing w:before="102" w:line="153" w:lineRule="exact"/>
              <w:ind w:left="125"/>
              <w:rPr>
                <w:rFonts w:hint="eastAsia"/>
              </w:rPr>
            </w:pPr>
            <w:r>
              <w:rPr>
                <w:position w:val="-2"/>
              </w:rPr>
              <w:drawing>
                <wp:inline distT="0" distB="0" distL="0" distR="0">
                  <wp:extent cx="103505" cy="882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4"/>
                          <a:stretch>
                            <a:fillRect/>
                          </a:stretch>
                        </pic:blipFill>
                        <pic:spPr>
                          <a:xfrm>
                            <a:off x="0" y="0"/>
                            <a:ext cx="104139" cy="88286"/>
                          </a:xfrm>
                          <a:prstGeom prst="rect">
                            <a:avLst/>
                          </a:prstGeom>
                        </pic:spPr>
                      </pic:pic>
                    </a:graphicData>
                  </a:graphic>
                </wp:inline>
              </w:drawing>
            </w:r>
            <w:r>
              <w:rPr>
                <w:spacing w:val="3"/>
                <w:position w:val="-1"/>
              </w:rPr>
              <w:t xml:space="preserve">   </w:t>
            </w:r>
            <w:r>
              <w:rPr>
                <w:spacing w:val="-1"/>
                <w:position w:val="-1"/>
              </w:rPr>
              <w:t xml:space="preserve">T.5  </w:t>
            </w:r>
            <w:r>
              <w:rPr>
                <w:rFonts w:ascii="宋体" w:hAnsi="宋体" w:eastAsia="宋体" w:cs="宋体"/>
                <w:spacing w:val="-1"/>
                <w:position w:val="-1"/>
              </w:rPr>
              <w:t>外部短路</w:t>
            </w:r>
            <w:r>
              <w:rPr>
                <w:rFonts w:ascii="宋体" w:hAnsi="宋体" w:eastAsia="宋体" w:cs="宋体"/>
                <w:spacing w:val="-40"/>
                <w:position w:val="-1"/>
              </w:rPr>
              <w:t xml:space="preserve"> </w:t>
            </w:r>
            <w:r>
              <w:rPr>
                <w:spacing w:val="-1"/>
                <w:position w:val="-1"/>
              </w:rPr>
              <w:t>External</w:t>
            </w:r>
            <w:r>
              <w:rPr>
                <w:spacing w:val="13"/>
                <w:w w:val="101"/>
                <w:position w:val="-1"/>
              </w:rPr>
              <w:t xml:space="preserve"> </w:t>
            </w:r>
            <w:r>
              <w:rPr>
                <w:spacing w:val="-1"/>
                <w:position w:val="-1"/>
              </w:rPr>
              <w:t>Short Ci</w:t>
            </w:r>
            <w:r>
              <w:rPr>
                <w:spacing w:val="-2"/>
                <w:position w:val="-1"/>
              </w:rPr>
              <w:t>rcuit</w:t>
            </w:r>
          </w:p>
        </w:tc>
        <w:tc>
          <w:tcPr>
            <w:tcW w:w="239" w:type="dxa"/>
          </w:tcPr>
          <w:p>
            <w:pPr>
              <w:jc w:val="left"/>
              <w:rPr>
                <w:rFonts w:ascii="Arial" w:hAnsi="Arial" w:cs="Arial"/>
              </w:rPr>
            </w:pPr>
          </w:p>
        </w:tc>
        <w:tc>
          <w:tcPr>
            <w:tcW w:w="164" w:type="dxa"/>
          </w:tcPr>
          <w:p>
            <w:pPr>
              <w:jc w:val="left"/>
              <w:rPr>
                <w:rFonts w:ascii="Arial" w:hAnsi="Arial" w:cs="Arial"/>
              </w:rPr>
            </w:pPr>
            <w:r>
              <w:rPr>
                <w:rFonts w:ascii="Arial" w:hAnsi="Arial" w:cs="Arial"/>
              </w:rPr>
              <mc:AlternateContent>
                <mc:Choice Requires="wps">
                  <w:drawing>
                    <wp:anchor distT="0" distB="0" distL="114300" distR="114300" simplePos="0" relativeHeight="251666432" behindDoc="0" locked="0" layoutInCell="1" allowOverlap="1">
                      <wp:simplePos x="0" y="0"/>
                      <wp:positionH relativeFrom="rightMargin">
                        <wp:posOffset>-101600</wp:posOffset>
                      </wp:positionH>
                      <wp:positionV relativeFrom="topMargin">
                        <wp:posOffset>66040</wp:posOffset>
                      </wp:positionV>
                      <wp:extent cx="104140" cy="0"/>
                      <wp:effectExtent l="6350" t="6350" r="6350" b="6350"/>
                      <wp:wrapNone/>
                      <wp:docPr id="209" name="任意多边形 209"/>
                      <wp:cNvGraphicFramePr/>
                      <a:graphic xmlns:a="http://schemas.openxmlformats.org/drawingml/2006/main">
                        <a:graphicData uri="http://schemas.microsoft.com/office/word/2010/wordprocessingShape">
                          <wps:wsp>
                            <wps:cNvSpPr/>
                            <wps:spPr>
                              <a:xfrm>
                                <a:off x="0" y="0"/>
                                <a:ext cx="104140" cy="0"/>
                              </a:xfrm>
                              <a:custGeom>
                                <a:avLst/>
                                <a:gdLst/>
                                <a:ahLst/>
                                <a:cxnLst/>
                                <a:rect l="0" t="0" r="0" b="0"/>
                                <a:pathLst>
                                  <a:path w="163">
                                    <a:moveTo>
                                      <a:pt x="0" y="0"/>
                                    </a:moveTo>
                                    <a:lnTo>
                                      <a:pt x="163"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45pt;height:0pt;width:8.2pt;mso-position-horizontal-relative:page;mso-position-vertical-relative:page;z-index:251666432;mso-width-relative:page;mso-height-relative:page;" filled="f" stroked="t" coordsize="163,1" o:gfxdata="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rBTzRAAAABgEAAA8AAAAAAAAAAQAg&#10;AAAAIgAAAGRycy9kb3ducmV2LnhtbFBLAQIUABQAAAAIAIdO4kAk89q2FQIAAFsEAAAOAAAAAAAA&#10;AAEAIAAAACABAABkcnMvZTJvRG9jLnhtbFBLBQYAAAAABgAGAFkBAACnBQAAAAA=&#10;" path="m0,0l163,0e">
                      <v:fill on="f" focussize="0,0"/>
                      <v:stroke weight="0pt" color="#000000" joinstyle="bevel" endcap="square"/>
                      <v:imagedata o:title=""/>
                      <o:lock v:ext="edit" aspectratio="f"/>
                    </v:shape>
                  </w:pict>
                </mc:Fallback>
              </mc:AlternateContent>
            </w:r>
          </w:p>
        </w:tc>
        <w:tc>
          <w:tcPr>
            <w:tcW w:w="276" w:type="dxa"/>
            <w:gridSpan w:val="2"/>
          </w:tcPr>
          <w:p>
            <w:pPr>
              <w:jc w:val="left"/>
              <w:rPr>
                <w:rFonts w:ascii="Arial" w:hAnsi="Arial" w:cs="Arial"/>
              </w:rPr>
            </w:pPr>
          </w:p>
        </w:tc>
        <w:tc>
          <w:tcPr>
            <w:tcW w:w="217" w:type="dxa"/>
            <w:gridSpan w:val="2"/>
          </w:tcPr>
          <w:p>
            <w:pPr>
              <w:jc w:val="left"/>
              <w:rPr>
                <w:rFonts w:ascii="Arial" w:hAnsi="Arial" w:cs="Arial"/>
              </w:rPr>
            </w:pPr>
          </w:p>
        </w:tc>
        <w:tc>
          <w:tcPr>
            <w:tcW w:w="173" w:type="dxa"/>
            <w:gridSpan w:val="2"/>
          </w:tcPr>
          <w:p>
            <w:pPr>
              <w:jc w:val="left"/>
              <w:rPr>
                <w:rFonts w:ascii="Arial" w:hAnsi="Arial" w:cs="Arial"/>
              </w:rPr>
            </w:pPr>
            <w:r>
              <w:rPr>
                <w:rFonts w:ascii="Arial" w:hAnsi="Arial" w:cs="Arial"/>
              </w:rPr>
              <mc:AlternateContent>
                <mc:Choice Requires="wps">
                  <w:drawing>
                    <wp:anchor distT="0" distB="0" distL="114300" distR="114300" simplePos="0" relativeHeight="251667456" behindDoc="0" locked="0" layoutInCell="1" allowOverlap="1">
                      <wp:simplePos x="0" y="0"/>
                      <wp:positionH relativeFrom="rightMargin">
                        <wp:posOffset>-107315</wp:posOffset>
                      </wp:positionH>
                      <wp:positionV relativeFrom="topMargin">
                        <wp:posOffset>66040</wp:posOffset>
                      </wp:positionV>
                      <wp:extent cx="104775" cy="0"/>
                      <wp:effectExtent l="6350" t="6350" r="5715" b="6350"/>
                      <wp:wrapNone/>
                      <wp:docPr id="219" name="任意多边形 219"/>
                      <wp:cNvGraphicFramePr/>
                      <a:graphic xmlns:a="http://schemas.openxmlformats.org/drawingml/2006/main">
                        <a:graphicData uri="http://schemas.microsoft.com/office/word/2010/wordprocessingShape">
                          <wps:wsp>
                            <wps:cNvSpPr/>
                            <wps:spPr>
                              <a:xfrm>
                                <a:off x="0" y="0"/>
                                <a:ext cx="104775" cy="0"/>
                              </a:xfrm>
                              <a:custGeom>
                                <a:avLst/>
                                <a:gdLst/>
                                <a:ahLst/>
                                <a:cxnLst/>
                                <a:rect l="0" t="0" r="0" b="0"/>
                                <a:pathLst>
                                  <a:path w="165">
                                    <a:moveTo>
                                      <a:pt x="0" y="0"/>
                                    </a:moveTo>
                                    <a:lnTo>
                                      <a:pt x="164"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45pt;height:0pt;width:8.25pt;mso-position-horizontal-relative:page;mso-position-vertical-relative:page;z-index:251667456;mso-width-relative:page;mso-height-relative:page;" filled="f" stroked="t" coordsize="165,1" o:gfxdata="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3yr8X1AAAAAcBAAAPAAAA&#10;AAAAAAEAIAAAACIAAABkcnMvZG93bnJldi54bWxQSwECFAAUAAAACACHTuJAUdAovhkCAABbBAAA&#10;DgAAAAAAAAABACAAAAAjAQAAZHJzL2Uyb0RvYy54bWxQSwUGAAAAAAYABgBZAQAArgUAAAAA&#10;" path="m0,0l164,0e">
                      <v:fill on="f" focussize="0,0"/>
                      <v:stroke weight="0pt" color="#000000" joinstyle="bevel" endcap="square"/>
                      <v:imagedata o:title=""/>
                      <o:lock v:ext="edit" aspectratio="f"/>
                    </v:shape>
                  </w:pict>
                </mc:Fallback>
              </mc:AlternateContent>
            </w:r>
          </w:p>
        </w:tc>
        <w:tc>
          <w:tcPr>
            <w:tcW w:w="253" w:type="dxa"/>
          </w:tcPr>
          <w:p>
            <w:pPr>
              <w:jc w:val="left"/>
              <w:rPr>
                <w:rFonts w:ascii="Arial" w:hAnsi="Arial" w:cs="Arial"/>
              </w:rPr>
            </w:pPr>
          </w:p>
        </w:tc>
        <w:tc>
          <w:tcPr>
            <w:tcW w:w="473" w:type="dxa"/>
            <w:vMerge w:val="continue"/>
            <w:tcBorders>
              <w:top w:val="nil"/>
              <w:bottom w:val="nil"/>
            </w:tcBorders>
          </w:tcPr>
          <w:p>
            <w:pPr>
              <w:jc w:val="left"/>
              <w:rPr>
                <w:rFonts w:ascii="Arial" w:hAnsi="Arial" w:cs="Arial"/>
              </w:rPr>
            </w:pPr>
          </w:p>
        </w:tc>
        <w:tc>
          <w:tcPr>
            <w:tcW w:w="634" w:type="dxa"/>
            <w:gridSpan w:val="3"/>
            <w:vMerge w:val="restart"/>
            <w:tcBorders>
              <w:bottom w:val="nil"/>
            </w:tcBorders>
          </w:tcPr>
          <w:p>
            <w:pPr>
              <w:spacing w:before="239" w:line="164" w:lineRule="exact"/>
              <w:ind w:firstLine="207"/>
              <w:jc w:val="left"/>
              <w:rPr>
                <w:rFonts w:ascii="Arial" w:hAnsi="Arial" w:cs="Arial"/>
              </w:rPr>
            </w:pPr>
            <w:r>
              <w:rPr>
                <w:rFonts w:ascii="Arial" w:hAnsi="Arial" w:cs="Arial"/>
                <w:position w:val="-3"/>
              </w:rPr>
              <mc:AlternateContent>
                <mc:Choice Requires="wps">
                  <w:drawing>
                    <wp:inline distT="0" distB="0" distL="114300" distR="114300">
                      <wp:extent cx="104775" cy="104775"/>
                      <wp:effectExtent l="6350" t="6350" r="15875" b="15875"/>
                      <wp:docPr id="220" name="任意多边形 220"/>
                      <wp:cNvGraphicFramePr/>
                      <a:graphic xmlns:a="http://schemas.openxmlformats.org/drawingml/2006/main">
                        <a:graphicData uri="http://schemas.microsoft.com/office/word/2010/wordprocessingShape">
                          <wps:wsp>
                            <wps:cNvSpPr/>
                            <wps:spPr>
                              <a:xfrm>
                                <a:off x="0" y="0"/>
                                <a:ext cx="104775" cy="104775"/>
                              </a:xfrm>
                              <a:custGeom>
                                <a:avLst/>
                                <a:gdLst/>
                                <a:ahLst/>
                                <a:cxnLst/>
                                <a:rect l="0" t="0" r="0" b="0"/>
                                <a:pathLst>
                                  <a:path w="165" h="165">
                                    <a:moveTo>
                                      <a:pt x="0" y="0"/>
                                    </a:moveTo>
                                    <a:lnTo>
                                      <a:pt x="164" y="0"/>
                                    </a:lnTo>
                                    <a:lnTo>
                                      <a:pt x="164" y="164"/>
                                    </a:lnTo>
                                    <a:lnTo>
                                      <a:pt x="0" y="164"/>
                                    </a:lnTo>
                                    <a:lnTo>
                                      <a:pt x="0" y="0"/>
                                    </a:lnTo>
                                    <a:close/>
                                  </a:path>
                                </a:pathLst>
                              </a:custGeom>
                              <a:noFill/>
                              <a:ln w="0" cap="sq" cmpd="sng">
                                <a:solidFill>
                                  <a:srgbClr val="000000"/>
                                </a:solidFill>
                                <a:prstDash val="solid"/>
                                <a:bevel/>
                                <a:headEnd type="none" w="med" len="med"/>
                                <a:tailEnd type="none" w="med" len="med"/>
                              </a:ln>
                            </wps:spPr>
                            <wps:bodyPr upright="1"/>
                          </wps:wsp>
                        </a:graphicData>
                      </a:graphic>
                    </wp:inline>
                  </w:drawing>
                </mc:Choice>
                <mc:Fallback>
                  <w:pict>
                    <v:shape id="_x0000_s1026" o:spid="_x0000_s1026" o:spt="100" style="height:8.25pt;width:8.25pt;" filled="f" stroked="t" coordsize="165,165" o:gfxdata="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3kxY0AAAAAMBAAAPAAAAAAAAAAEAIAAAACIAAABkcnMvZG93bnJldi54&#10;bWxQSwECFAAUAAAACACHTuJApHG4BTsCAADkBAAADgAAAAAAAAABACAAAAAfAQAAZHJzL2Uyb0Rv&#10;Yy54bWxQSwUGAAAAAAYABgBZAQAAzAUAAAAA&#10;" path="m0,0l164,0,164,164,0,164,0,0xe">
                      <v:fill on="f" focussize="0,0"/>
                      <v:stroke weight="0pt" color="#000000" joinstyle="bevel" endcap="square"/>
                      <v:imagedata o:title=""/>
                      <o:lock v:ext="edit" aspectratio="f"/>
                      <w10:wrap type="none"/>
                      <w10:anchorlock/>
                    </v:shape>
                  </w:pict>
                </mc:Fallback>
              </mc:AlternateContent>
            </w:r>
          </w:p>
        </w:tc>
        <w:tc>
          <w:tcPr>
            <w:tcW w:w="3460" w:type="dxa"/>
            <w:gridSpan w:val="5"/>
            <w:vMerge w:val="restart"/>
            <w:tcBorders>
              <w:bottom w:val="nil"/>
            </w:tcBorders>
          </w:tcPr>
          <w:p>
            <w:pPr>
              <w:pStyle w:val="20"/>
              <w:spacing w:before="102" w:line="212" w:lineRule="auto"/>
              <w:ind w:left="137"/>
              <w:rPr>
                <w:rFonts w:hint="eastAsia"/>
              </w:rPr>
            </w:pPr>
            <w:r>
              <w:rPr>
                <w:rFonts w:ascii="宋体" w:hAnsi="宋体" w:eastAsia="宋体" w:cs="宋体"/>
                <w:spacing w:val="-2"/>
              </w:rPr>
              <w:t xml:space="preserve">适用于 </w:t>
            </w:r>
            <w:r>
              <w:rPr>
                <w:spacing w:val="-2"/>
              </w:rPr>
              <w:t>38.3.3</w:t>
            </w:r>
            <w:r>
              <w:rPr>
                <w:spacing w:val="18"/>
                <w:w w:val="101"/>
              </w:rPr>
              <w:t xml:space="preserve"> </w:t>
            </w:r>
            <w:r>
              <w:rPr>
                <w:spacing w:val="-2"/>
              </w:rPr>
              <w:t>(g)</w:t>
            </w:r>
          </w:p>
          <w:p>
            <w:pPr>
              <w:pStyle w:val="20"/>
              <w:spacing w:before="80" w:line="135" w:lineRule="exact"/>
              <w:ind w:left="131"/>
              <w:rPr>
                <w:rFonts w:hint="eastAsia"/>
              </w:rPr>
            </w:pPr>
            <w:r>
              <w:rPr>
                <w:spacing w:val="-1"/>
                <w:position w:val="-2"/>
              </w:rPr>
              <w:t>Applicable</w:t>
            </w:r>
            <w:r>
              <w:rPr>
                <w:spacing w:val="-14"/>
                <w:position w:val="-2"/>
              </w:rPr>
              <w:t xml:space="preserve"> </w:t>
            </w:r>
            <w:r>
              <w:rPr>
                <w:rFonts w:ascii="宋体" w:hAnsi="宋体" w:eastAsia="宋体" w:cs="宋体"/>
                <w:spacing w:val="-1"/>
                <w:position w:val="-2"/>
              </w:rPr>
              <w:t>，</w:t>
            </w:r>
            <w:r>
              <w:rPr>
                <w:spacing w:val="-1"/>
                <w:position w:val="-2"/>
              </w:rPr>
              <w:t>reference to 38.3.3 (g)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5" w:hRule="atLeast"/>
        </w:trPr>
        <w:tc>
          <w:tcPr>
            <w:tcW w:w="4162" w:type="dxa"/>
            <w:gridSpan w:val="7"/>
          </w:tcPr>
          <w:p>
            <w:pPr>
              <w:pStyle w:val="20"/>
              <w:spacing w:before="103" w:line="151" w:lineRule="exact"/>
              <w:ind w:left="125"/>
              <w:rPr>
                <w:rFonts w:hint="eastAsia"/>
              </w:rPr>
            </w:pPr>
            <w:r>
              <w:rPr>
                <w:position w:val="-3"/>
              </w:rPr>
              <w:drawing>
                <wp:inline distT="0" distB="0" distL="0" distR="0">
                  <wp:extent cx="103505" cy="82550"/>
                  <wp:effectExtent l="0" t="0" r="0" b="0"/>
                  <wp:docPr id="204" name="IM 20"/>
                  <wp:cNvGraphicFramePr/>
                  <a:graphic xmlns:a="http://schemas.openxmlformats.org/drawingml/2006/main">
                    <a:graphicData uri="http://schemas.openxmlformats.org/drawingml/2006/picture">
                      <pic:pic xmlns:pic="http://schemas.openxmlformats.org/drawingml/2006/picture">
                        <pic:nvPicPr>
                          <pic:cNvPr id="204" name="IM 20"/>
                          <pic:cNvPicPr/>
                        </pic:nvPicPr>
                        <pic:blipFill>
                          <a:blip r:embed="rId15"/>
                          <a:stretch>
                            <a:fillRect/>
                          </a:stretch>
                        </pic:blipFill>
                        <pic:spPr>
                          <a:xfrm>
                            <a:off x="0" y="0"/>
                            <a:ext cx="104139" cy="82642"/>
                          </a:xfrm>
                          <a:prstGeom prst="rect">
                            <a:avLst/>
                          </a:prstGeom>
                        </pic:spPr>
                      </pic:pic>
                    </a:graphicData>
                  </a:graphic>
                </wp:inline>
              </w:drawing>
            </w:r>
            <w:r>
              <w:rPr>
                <w:spacing w:val="9"/>
                <w:position w:val="-3"/>
              </w:rPr>
              <w:t xml:space="preserve">   </w:t>
            </w:r>
            <w:r>
              <w:rPr>
                <w:spacing w:val="-2"/>
                <w:position w:val="-3"/>
              </w:rPr>
              <w:t xml:space="preserve">T.6  </w:t>
            </w:r>
            <w:r>
              <w:rPr>
                <w:rFonts w:ascii="宋体" w:hAnsi="宋体" w:eastAsia="宋体" w:cs="宋体"/>
                <w:spacing w:val="-2"/>
                <w:position w:val="-3"/>
              </w:rPr>
              <w:t>撞击</w:t>
            </w:r>
            <w:r>
              <w:rPr>
                <w:spacing w:val="-2"/>
                <w:position w:val="-3"/>
              </w:rPr>
              <w:t xml:space="preserve">/  </w:t>
            </w:r>
            <w:r>
              <w:rPr>
                <w:rFonts w:ascii="宋体" w:hAnsi="宋体" w:eastAsia="宋体" w:cs="宋体"/>
                <w:spacing w:val="-2"/>
                <w:position w:val="-3"/>
              </w:rPr>
              <w:t>挤压</w:t>
            </w:r>
            <w:r>
              <w:rPr>
                <w:rFonts w:ascii="宋体" w:hAnsi="宋体" w:eastAsia="宋体" w:cs="宋体"/>
                <w:spacing w:val="-40"/>
                <w:position w:val="-3"/>
              </w:rPr>
              <w:t xml:space="preserve"> </w:t>
            </w:r>
            <w:r>
              <w:rPr>
                <w:spacing w:val="-2"/>
                <w:position w:val="-3"/>
              </w:rPr>
              <w:t>Impact/</w:t>
            </w:r>
            <w:r>
              <w:rPr>
                <w:spacing w:val="8"/>
                <w:position w:val="-3"/>
              </w:rPr>
              <w:t xml:space="preserve"> </w:t>
            </w:r>
            <w:r>
              <w:rPr>
                <w:spacing w:val="-2"/>
                <w:position w:val="-3"/>
              </w:rPr>
              <w:t>Crush</w:t>
            </w:r>
          </w:p>
        </w:tc>
        <w:tc>
          <w:tcPr>
            <w:tcW w:w="239" w:type="dxa"/>
          </w:tcPr>
          <w:p>
            <w:pPr>
              <w:jc w:val="left"/>
              <w:rPr>
                <w:rFonts w:ascii="Arial" w:hAnsi="Arial" w:cs="Arial"/>
              </w:rPr>
            </w:pPr>
          </w:p>
        </w:tc>
        <w:tc>
          <w:tcPr>
            <w:tcW w:w="164" w:type="dxa"/>
          </w:tcPr>
          <w:p>
            <w:pPr>
              <w:jc w:val="left"/>
              <w:rPr>
                <w:rFonts w:ascii="Arial" w:hAnsi="Arial" w:cs="Arial"/>
              </w:rPr>
            </w:pPr>
            <w:r>
              <w:rPr>
                <w:rFonts w:ascii="Arial" w:hAnsi="Arial" w:cs="Arial"/>
              </w:rPr>
              <mc:AlternateContent>
                <mc:Choice Requires="wps">
                  <w:drawing>
                    <wp:anchor distT="0" distB="0" distL="114300" distR="114300" simplePos="0" relativeHeight="251669504" behindDoc="0" locked="0" layoutInCell="1" allowOverlap="1">
                      <wp:simplePos x="0" y="0"/>
                      <wp:positionH relativeFrom="rightMargin">
                        <wp:posOffset>-101600</wp:posOffset>
                      </wp:positionH>
                      <wp:positionV relativeFrom="topMargin">
                        <wp:posOffset>66040</wp:posOffset>
                      </wp:positionV>
                      <wp:extent cx="104140" cy="0"/>
                      <wp:effectExtent l="6350" t="6350" r="6350" b="6350"/>
                      <wp:wrapNone/>
                      <wp:docPr id="221" name="任意多边形 221"/>
                      <wp:cNvGraphicFramePr/>
                      <a:graphic xmlns:a="http://schemas.openxmlformats.org/drawingml/2006/main">
                        <a:graphicData uri="http://schemas.microsoft.com/office/word/2010/wordprocessingShape">
                          <wps:wsp>
                            <wps:cNvSpPr/>
                            <wps:spPr>
                              <a:xfrm>
                                <a:off x="0" y="0"/>
                                <a:ext cx="104140" cy="0"/>
                              </a:xfrm>
                              <a:custGeom>
                                <a:avLst/>
                                <a:gdLst/>
                                <a:ahLst/>
                                <a:cxnLst/>
                                <a:rect l="0" t="0" r="0" b="0"/>
                                <a:pathLst>
                                  <a:path w="163">
                                    <a:moveTo>
                                      <a:pt x="0" y="0"/>
                                    </a:moveTo>
                                    <a:lnTo>
                                      <a:pt x="163"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45pt;height:0pt;width:8.2pt;mso-position-horizontal-relative:page;mso-position-vertical-relative:page;z-index:251669504;mso-width-relative:page;mso-height-relative:page;" filled="f" stroked="t" coordsize="163,1" o:gfxdata="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rBTzRAAAABgEAAA8AAAAAAAAAAQAg&#10;AAAAIgAAAGRycy9kb3ducmV2LnhtbFBLAQIUABQAAAAIAIdO4kCyHJ3TFQIAAFsEAAAOAAAAAAAA&#10;AAEAIAAAACABAABkcnMvZTJvRG9jLnhtbFBLBQYAAAAABgAGAFkBAACnBQAAAAA=&#10;" path="m0,0l163,0e">
                      <v:fill on="f" focussize="0,0"/>
                      <v:stroke weight="0pt" color="#000000" joinstyle="bevel" endcap="square"/>
                      <v:imagedata o:title=""/>
                      <o:lock v:ext="edit" aspectratio="f"/>
                    </v:shape>
                  </w:pict>
                </mc:Fallback>
              </mc:AlternateContent>
            </w:r>
          </w:p>
        </w:tc>
        <w:tc>
          <w:tcPr>
            <w:tcW w:w="276" w:type="dxa"/>
            <w:gridSpan w:val="2"/>
          </w:tcPr>
          <w:p>
            <w:pPr>
              <w:jc w:val="left"/>
              <w:rPr>
                <w:rFonts w:ascii="Arial" w:hAnsi="Arial" w:cs="Arial"/>
              </w:rPr>
            </w:pPr>
          </w:p>
        </w:tc>
        <w:tc>
          <w:tcPr>
            <w:tcW w:w="217" w:type="dxa"/>
            <w:gridSpan w:val="2"/>
          </w:tcPr>
          <w:p>
            <w:pPr>
              <w:jc w:val="left"/>
              <w:rPr>
                <w:rFonts w:ascii="Arial" w:hAnsi="Arial" w:cs="Arial"/>
              </w:rPr>
            </w:pPr>
          </w:p>
        </w:tc>
        <w:tc>
          <w:tcPr>
            <w:tcW w:w="173" w:type="dxa"/>
            <w:gridSpan w:val="2"/>
          </w:tcPr>
          <w:p>
            <w:pPr>
              <w:jc w:val="left"/>
              <w:rPr>
                <w:rFonts w:ascii="Arial" w:hAnsi="Arial" w:cs="Arial"/>
              </w:rPr>
            </w:pPr>
            <w:r>
              <w:rPr>
                <w:rFonts w:ascii="Arial" w:hAnsi="Arial" w:cs="Arial"/>
              </w:rPr>
              <mc:AlternateContent>
                <mc:Choice Requires="wps">
                  <w:drawing>
                    <wp:anchor distT="0" distB="0" distL="114300" distR="114300" simplePos="0" relativeHeight="251671552" behindDoc="0" locked="0" layoutInCell="1" allowOverlap="1">
                      <wp:simplePos x="0" y="0"/>
                      <wp:positionH relativeFrom="rightMargin">
                        <wp:posOffset>-107315</wp:posOffset>
                      </wp:positionH>
                      <wp:positionV relativeFrom="topMargin">
                        <wp:posOffset>66040</wp:posOffset>
                      </wp:positionV>
                      <wp:extent cx="104775" cy="0"/>
                      <wp:effectExtent l="6350" t="6350" r="5715" b="6350"/>
                      <wp:wrapNone/>
                      <wp:docPr id="222" name="任意多边形 222"/>
                      <wp:cNvGraphicFramePr/>
                      <a:graphic xmlns:a="http://schemas.openxmlformats.org/drawingml/2006/main">
                        <a:graphicData uri="http://schemas.microsoft.com/office/word/2010/wordprocessingShape">
                          <wps:wsp>
                            <wps:cNvSpPr/>
                            <wps:spPr>
                              <a:xfrm>
                                <a:off x="0" y="0"/>
                                <a:ext cx="104775" cy="0"/>
                              </a:xfrm>
                              <a:custGeom>
                                <a:avLst/>
                                <a:gdLst/>
                                <a:ahLst/>
                                <a:cxnLst/>
                                <a:rect l="0" t="0" r="0" b="0"/>
                                <a:pathLst>
                                  <a:path w="165">
                                    <a:moveTo>
                                      <a:pt x="0" y="0"/>
                                    </a:moveTo>
                                    <a:lnTo>
                                      <a:pt x="164"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45pt;height:0pt;width:8.25pt;mso-position-horizontal-relative:page;mso-position-vertical-relative:page;z-index:251671552;mso-width-relative:page;mso-height-relative:page;" filled="f" stroked="t" coordsize="165,1" o:gfxdata="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fKvxfUAAAABwEAAA8AAAAA&#10;AAAAAQAgAAAAIgAAAGRycy9kb3ducmV2LnhtbFBLAQIUABQAAAAIAIdO4kAYFqslGAIAAFsEAAAO&#10;AAAAAAAAAAEAIAAAACMBAABkcnMvZTJvRG9jLnhtbFBLBQYAAAAABgAGAFkBAACtBQAAAAA=&#10;" path="m0,0l164,0e">
                      <v:fill on="f" focussize="0,0"/>
                      <v:stroke weight="0pt" color="#000000" joinstyle="bevel" endcap="square"/>
                      <v:imagedata o:title=""/>
                      <o:lock v:ext="edit" aspectratio="f"/>
                    </v:shape>
                  </w:pict>
                </mc:Fallback>
              </mc:AlternateContent>
            </w:r>
          </w:p>
        </w:tc>
        <w:tc>
          <w:tcPr>
            <w:tcW w:w="253" w:type="dxa"/>
          </w:tcPr>
          <w:p>
            <w:pPr>
              <w:jc w:val="left"/>
              <w:rPr>
                <w:rFonts w:ascii="Arial" w:hAnsi="Arial" w:cs="Arial"/>
              </w:rPr>
            </w:pPr>
          </w:p>
        </w:tc>
        <w:tc>
          <w:tcPr>
            <w:tcW w:w="473" w:type="dxa"/>
            <w:vMerge w:val="continue"/>
            <w:tcBorders>
              <w:top w:val="nil"/>
              <w:bottom w:val="nil"/>
            </w:tcBorders>
          </w:tcPr>
          <w:p>
            <w:pPr>
              <w:jc w:val="left"/>
              <w:rPr>
                <w:rFonts w:ascii="Arial" w:hAnsi="Arial" w:cs="Arial"/>
              </w:rPr>
            </w:pPr>
          </w:p>
        </w:tc>
        <w:tc>
          <w:tcPr>
            <w:tcW w:w="634" w:type="dxa"/>
            <w:gridSpan w:val="3"/>
            <w:vMerge w:val="continue"/>
            <w:tcBorders>
              <w:top w:val="nil"/>
            </w:tcBorders>
          </w:tcPr>
          <w:p>
            <w:pPr>
              <w:jc w:val="left"/>
              <w:rPr>
                <w:rFonts w:ascii="Arial" w:hAnsi="Arial" w:cs="Arial"/>
              </w:rPr>
            </w:pPr>
          </w:p>
        </w:tc>
        <w:tc>
          <w:tcPr>
            <w:tcW w:w="3460" w:type="dxa"/>
            <w:gridSpan w:val="5"/>
            <w:vMerge w:val="continue"/>
            <w:tcBorders>
              <w:top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5" w:hRule="atLeast"/>
        </w:trPr>
        <w:tc>
          <w:tcPr>
            <w:tcW w:w="4162" w:type="dxa"/>
            <w:gridSpan w:val="7"/>
          </w:tcPr>
          <w:p>
            <w:pPr>
              <w:pStyle w:val="20"/>
              <w:spacing w:before="102" w:line="153" w:lineRule="exact"/>
              <w:ind w:left="125"/>
              <w:rPr>
                <w:rFonts w:hint="eastAsia"/>
              </w:rPr>
            </w:pPr>
            <w:r>
              <w:rPr>
                <w:position w:val="-3"/>
              </w:rPr>
              <w:drawing>
                <wp:inline distT="0" distB="0" distL="0" distR="0">
                  <wp:extent cx="103505" cy="819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104139" cy="82120"/>
                          </a:xfrm>
                          <a:prstGeom prst="rect">
                            <a:avLst/>
                          </a:prstGeom>
                        </pic:spPr>
                      </pic:pic>
                    </a:graphicData>
                  </a:graphic>
                </wp:inline>
              </w:drawing>
            </w:r>
            <w:r>
              <w:rPr>
                <w:spacing w:val="6"/>
                <w:position w:val="-3"/>
              </w:rPr>
              <w:t xml:space="preserve">   </w:t>
            </w:r>
            <w:r>
              <w:rPr>
                <w:spacing w:val="-2"/>
                <w:position w:val="-3"/>
              </w:rPr>
              <w:t xml:space="preserve">T.7  </w:t>
            </w:r>
            <w:r>
              <w:rPr>
                <w:rFonts w:ascii="宋体" w:hAnsi="宋体" w:eastAsia="宋体" w:cs="宋体"/>
                <w:spacing w:val="-2"/>
                <w:position w:val="-3"/>
              </w:rPr>
              <w:t>过度充电</w:t>
            </w:r>
            <w:r>
              <w:rPr>
                <w:rFonts w:ascii="宋体" w:hAnsi="宋体" w:eastAsia="宋体" w:cs="宋体"/>
                <w:spacing w:val="-37"/>
                <w:position w:val="-3"/>
              </w:rPr>
              <w:t xml:space="preserve"> </w:t>
            </w:r>
            <w:r>
              <w:rPr>
                <w:spacing w:val="-2"/>
                <w:position w:val="-3"/>
              </w:rPr>
              <w:t>Overcharge</w:t>
            </w:r>
          </w:p>
        </w:tc>
        <w:tc>
          <w:tcPr>
            <w:tcW w:w="239" w:type="dxa"/>
          </w:tcPr>
          <w:p>
            <w:pPr>
              <w:jc w:val="left"/>
              <w:rPr>
                <w:rFonts w:ascii="Arial" w:hAnsi="Arial" w:cs="Arial"/>
              </w:rPr>
            </w:pPr>
          </w:p>
        </w:tc>
        <w:tc>
          <w:tcPr>
            <w:tcW w:w="164" w:type="dxa"/>
          </w:tcPr>
          <w:p>
            <w:pPr>
              <w:jc w:val="left"/>
              <w:rPr>
                <w:rFonts w:ascii="Arial" w:hAnsi="Arial" w:cs="Arial"/>
              </w:rPr>
            </w:pPr>
            <w:r>
              <w:rPr>
                <w:rFonts w:ascii="Arial" w:hAnsi="Arial" w:cs="Arial"/>
              </w:rPr>
              <mc:AlternateContent>
                <mc:Choice Requires="wps">
                  <w:drawing>
                    <wp:anchor distT="0" distB="0" distL="114300" distR="114300" simplePos="0" relativeHeight="251670528" behindDoc="0" locked="0" layoutInCell="1" allowOverlap="1">
                      <wp:simplePos x="0" y="0"/>
                      <wp:positionH relativeFrom="rightMargin">
                        <wp:posOffset>-101600</wp:posOffset>
                      </wp:positionH>
                      <wp:positionV relativeFrom="topMargin">
                        <wp:posOffset>66040</wp:posOffset>
                      </wp:positionV>
                      <wp:extent cx="104140" cy="0"/>
                      <wp:effectExtent l="6350" t="6350" r="6350" b="6350"/>
                      <wp:wrapNone/>
                      <wp:docPr id="223" name="任意多边形 223"/>
                      <wp:cNvGraphicFramePr/>
                      <a:graphic xmlns:a="http://schemas.openxmlformats.org/drawingml/2006/main">
                        <a:graphicData uri="http://schemas.microsoft.com/office/word/2010/wordprocessingShape">
                          <wps:wsp>
                            <wps:cNvSpPr/>
                            <wps:spPr>
                              <a:xfrm>
                                <a:off x="0" y="0"/>
                                <a:ext cx="104140" cy="0"/>
                              </a:xfrm>
                              <a:custGeom>
                                <a:avLst/>
                                <a:gdLst/>
                                <a:ahLst/>
                                <a:cxnLst/>
                                <a:rect l="0" t="0" r="0" b="0"/>
                                <a:pathLst>
                                  <a:path w="163">
                                    <a:moveTo>
                                      <a:pt x="0" y="0"/>
                                    </a:moveTo>
                                    <a:lnTo>
                                      <a:pt x="163"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45pt;height:0pt;width:8.2pt;mso-position-horizontal-relative:page;mso-position-vertical-relative:page;z-index:251670528;mso-width-relative:page;mso-height-relative:page;" filled="f" stroked="t" coordsize="163,1" o:gfxdata="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rBTzRAAAABgEAAA8AAAAAAAAAAQAg&#10;AAAAIgAAAGRycy9kb3ducmV2LnhtbFBLAQIUABQAAAAIAIdO4kAKlWmNFQIAAFsEAAAOAAAAAAAA&#10;AAEAIAAAACABAABkcnMvZTJvRG9jLnhtbFBLBQYAAAAABgAGAFkBAACnBQAAAAA=&#10;" path="m0,0l163,0e">
                      <v:fill on="f" focussize="0,0"/>
                      <v:stroke weight="0pt" color="#000000" joinstyle="bevel" endcap="square"/>
                      <v:imagedata o:title=""/>
                      <o:lock v:ext="edit" aspectratio="f"/>
                    </v:shape>
                  </w:pict>
                </mc:Fallback>
              </mc:AlternateContent>
            </w:r>
          </w:p>
        </w:tc>
        <w:tc>
          <w:tcPr>
            <w:tcW w:w="276" w:type="dxa"/>
            <w:gridSpan w:val="2"/>
          </w:tcPr>
          <w:p>
            <w:pPr>
              <w:jc w:val="left"/>
              <w:rPr>
                <w:rFonts w:ascii="Arial" w:hAnsi="Arial" w:cs="Arial"/>
              </w:rPr>
            </w:pPr>
          </w:p>
        </w:tc>
        <w:tc>
          <w:tcPr>
            <w:tcW w:w="217" w:type="dxa"/>
            <w:gridSpan w:val="2"/>
          </w:tcPr>
          <w:p>
            <w:pPr>
              <w:jc w:val="left"/>
              <w:rPr>
                <w:rFonts w:ascii="Arial" w:hAnsi="Arial" w:cs="Arial"/>
              </w:rPr>
            </w:pPr>
          </w:p>
        </w:tc>
        <w:tc>
          <w:tcPr>
            <w:tcW w:w="173" w:type="dxa"/>
            <w:gridSpan w:val="2"/>
          </w:tcPr>
          <w:p>
            <w:pPr>
              <w:jc w:val="left"/>
              <w:rPr>
                <w:rFonts w:ascii="Arial" w:hAnsi="Arial" w:cs="Arial"/>
              </w:rPr>
            </w:pPr>
            <w:r>
              <w:rPr>
                <w:rFonts w:ascii="Arial" w:hAnsi="Arial" w:cs="Arial"/>
              </w:rPr>
              <mc:AlternateContent>
                <mc:Choice Requires="wps">
                  <w:drawing>
                    <wp:anchor distT="0" distB="0" distL="114300" distR="114300" simplePos="0" relativeHeight="251672576" behindDoc="0" locked="0" layoutInCell="1" allowOverlap="1">
                      <wp:simplePos x="0" y="0"/>
                      <wp:positionH relativeFrom="rightMargin">
                        <wp:posOffset>-107315</wp:posOffset>
                      </wp:positionH>
                      <wp:positionV relativeFrom="topMargin">
                        <wp:posOffset>66040</wp:posOffset>
                      </wp:positionV>
                      <wp:extent cx="104775" cy="0"/>
                      <wp:effectExtent l="6350" t="6350" r="5715" b="6350"/>
                      <wp:wrapNone/>
                      <wp:docPr id="224" name="任意多边形 224"/>
                      <wp:cNvGraphicFramePr/>
                      <a:graphic xmlns:a="http://schemas.openxmlformats.org/drawingml/2006/main">
                        <a:graphicData uri="http://schemas.microsoft.com/office/word/2010/wordprocessingShape">
                          <wps:wsp>
                            <wps:cNvSpPr/>
                            <wps:spPr>
                              <a:xfrm>
                                <a:off x="0" y="0"/>
                                <a:ext cx="104775" cy="0"/>
                              </a:xfrm>
                              <a:custGeom>
                                <a:avLst/>
                                <a:gdLst/>
                                <a:ahLst/>
                                <a:cxnLst/>
                                <a:rect l="0" t="0" r="0" b="0"/>
                                <a:pathLst>
                                  <a:path w="165">
                                    <a:moveTo>
                                      <a:pt x="0" y="0"/>
                                    </a:moveTo>
                                    <a:lnTo>
                                      <a:pt x="164"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45pt;height:0pt;width:8.25pt;mso-position-horizontal-relative:page;mso-position-vertical-relative:page;z-index:251672576;mso-width-relative:page;mso-height-relative:page;" filled="f" stroked="t" coordsize="165,1" o:gfxdata="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fKvxfUAAAABwEAAA8AAAAA&#10;AAAAAQAgAAAAIgAAAGRycy9kb3ducmV2LnhtbFBLAQIUABQAAAAIAIdO4kDQjLbGGAIAAFsEAAAO&#10;AAAAAAAAAAEAIAAAACMBAABkcnMvZTJvRG9jLnhtbFBLBQYAAAAABgAGAFkBAACtBQAAAAA=&#10;" path="m0,0l164,0e">
                      <v:fill on="f" focussize="0,0"/>
                      <v:stroke weight="0pt" color="#000000" joinstyle="bevel" endcap="square"/>
                      <v:imagedata o:title=""/>
                      <o:lock v:ext="edit" aspectratio="f"/>
                    </v:shape>
                  </w:pict>
                </mc:Fallback>
              </mc:AlternateContent>
            </w:r>
          </w:p>
        </w:tc>
        <w:tc>
          <w:tcPr>
            <w:tcW w:w="253" w:type="dxa"/>
          </w:tcPr>
          <w:p>
            <w:pPr>
              <w:jc w:val="left"/>
              <w:rPr>
                <w:rFonts w:ascii="Arial" w:hAnsi="Arial" w:cs="Arial"/>
              </w:rPr>
            </w:pPr>
          </w:p>
        </w:tc>
        <w:tc>
          <w:tcPr>
            <w:tcW w:w="473" w:type="dxa"/>
            <w:vMerge w:val="continue"/>
            <w:tcBorders>
              <w:top w:val="nil"/>
              <w:bottom w:val="nil"/>
            </w:tcBorders>
          </w:tcPr>
          <w:p>
            <w:pPr>
              <w:jc w:val="left"/>
              <w:rPr>
                <w:rFonts w:ascii="Arial" w:hAnsi="Arial" w:cs="Arial"/>
              </w:rPr>
            </w:pPr>
          </w:p>
        </w:tc>
        <w:tc>
          <w:tcPr>
            <w:tcW w:w="4094" w:type="dxa"/>
            <w:gridSpan w:val="8"/>
            <w:vMerge w:val="restart"/>
            <w:tcBorders>
              <w:bottom w:val="nil"/>
            </w:tcBorders>
          </w:tcPr>
          <w:p>
            <w:pPr>
              <w:pStyle w:val="20"/>
              <w:spacing w:before="102" w:line="219" w:lineRule="auto"/>
              <w:ind w:left="107"/>
              <w:rPr>
                <w:rFonts w:hint="eastAsia"/>
              </w:rPr>
            </w:pPr>
            <w:r>
              <w:rPr>
                <w:rFonts w:ascii="宋体" w:hAnsi="宋体" w:eastAsia="宋体" w:cs="宋体"/>
                <w:spacing w:val="-1"/>
              </w:rPr>
              <w:t>其他执行标准</w:t>
            </w:r>
            <w:r>
              <w:rPr>
                <w:spacing w:val="-1"/>
              </w:rPr>
              <w:t>/ Other executive</w:t>
            </w:r>
            <w:r>
              <w:rPr>
                <w:spacing w:val="24"/>
              </w:rPr>
              <w:t xml:space="preserve"> </w:t>
            </w:r>
            <w:r>
              <w:rPr>
                <w:spacing w:val="-1"/>
              </w:rPr>
              <w:t>standards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6" w:hRule="atLeast"/>
        </w:trPr>
        <w:tc>
          <w:tcPr>
            <w:tcW w:w="4162" w:type="dxa"/>
            <w:gridSpan w:val="7"/>
          </w:tcPr>
          <w:p>
            <w:pPr>
              <w:pStyle w:val="20"/>
              <w:spacing w:before="103" w:line="153" w:lineRule="exact"/>
              <w:ind w:left="125"/>
              <w:rPr>
                <w:rFonts w:hint="eastAsia"/>
              </w:rPr>
            </w:pPr>
            <w:r>
              <w:rPr>
                <w:position w:val="-3"/>
              </w:rPr>
              <w:drawing>
                <wp:inline distT="0" distB="0" distL="0" distR="0">
                  <wp:extent cx="103505" cy="825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7"/>
                          <a:stretch>
                            <a:fillRect/>
                          </a:stretch>
                        </pic:blipFill>
                        <pic:spPr>
                          <a:xfrm>
                            <a:off x="0" y="0"/>
                            <a:ext cx="104139" cy="83032"/>
                          </a:xfrm>
                          <a:prstGeom prst="rect">
                            <a:avLst/>
                          </a:prstGeom>
                        </pic:spPr>
                      </pic:pic>
                    </a:graphicData>
                  </a:graphic>
                </wp:inline>
              </w:drawing>
            </w:r>
            <w:r>
              <w:rPr>
                <w:spacing w:val="3"/>
                <w:position w:val="-3"/>
              </w:rPr>
              <w:t xml:space="preserve">   </w:t>
            </w:r>
            <w:r>
              <w:rPr>
                <w:spacing w:val="-1"/>
                <w:position w:val="-3"/>
              </w:rPr>
              <w:t xml:space="preserve">T.8  </w:t>
            </w:r>
            <w:r>
              <w:rPr>
                <w:rFonts w:ascii="宋体" w:hAnsi="宋体" w:eastAsia="宋体" w:cs="宋体"/>
                <w:spacing w:val="-1"/>
                <w:position w:val="-3"/>
              </w:rPr>
              <w:t>强制放电</w:t>
            </w:r>
            <w:r>
              <w:rPr>
                <w:rFonts w:ascii="宋体" w:hAnsi="宋体" w:eastAsia="宋体" w:cs="宋体"/>
                <w:spacing w:val="-41"/>
                <w:position w:val="-3"/>
              </w:rPr>
              <w:t xml:space="preserve"> </w:t>
            </w:r>
            <w:r>
              <w:rPr>
                <w:spacing w:val="-1"/>
                <w:position w:val="-3"/>
              </w:rPr>
              <w:t>Forced Discharge</w:t>
            </w:r>
          </w:p>
        </w:tc>
        <w:tc>
          <w:tcPr>
            <w:tcW w:w="239" w:type="dxa"/>
          </w:tcPr>
          <w:p>
            <w:pPr>
              <w:jc w:val="left"/>
              <w:rPr>
                <w:rFonts w:ascii="Arial" w:hAnsi="Arial" w:cs="Arial"/>
              </w:rPr>
            </w:pPr>
          </w:p>
        </w:tc>
        <w:tc>
          <w:tcPr>
            <w:tcW w:w="164" w:type="dxa"/>
          </w:tcPr>
          <w:p>
            <w:pPr>
              <w:jc w:val="left"/>
              <w:rPr>
                <w:rFonts w:ascii="Arial" w:hAnsi="Arial" w:cs="Arial"/>
              </w:rPr>
            </w:pPr>
            <w:r>
              <w:rPr>
                <w:rFonts w:ascii="Arial" w:hAnsi="Arial" w:cs="Arial"/>
              </w:rPr>
              <mc:AlternateContent>
                <mc:Choice Requires="wps">
                  <w:drawing>
                    <wp:anchor distT="0" distB="0" distL="114300" distR="114300" simplePos="0" relativeHeight="251673600" behindDoc="0" locked="0" layoutInCell="1" allowOverlap="1">
                      <wp:simplePos x="0" y="0"/>
                      <wp:positionH relativeFrom="rightMargin">
                        <wp:posOffset>-101600</wp:posOffset>
                      </wp:positionH>
                      <wp:positionV relativeFrom="topMargin">
                        <wp:posOffset>66040</wp:posOffset>
                      </wp:positionV>
                      <wp:extent cx="104140" cy="0"/>
                      <wp:effectExtent l="6350" t="6350" r="6350" b="6350"/>
                      <wp:wrapNone/>
                      <wp:docPr id="213" name="任意多边形 213"/>
                      <wp:cNvGraphicFramePr/>
                      <a:graphic xmlns:a="http://schemas.openxmlformats.org/drawingml/2006/main">
                        <a:graphicData uri="http://schemas.microsoft.com/office/word/2010/wordprocessingShape">
                          <wps:wsp>
                            <wps:cNvSpPr/>
                            <wps:spPr>
                              <a:xfrm>
                                <a:off x="0" y="0"/>
                                <a:ext cx="104140" cy="0"/>
                              </a:xfrm>
                              <a:custGeom>
                                <a:avLst/>
                                <a:gdLst/>
                                <a:ahLst/>
                                <a:cxnLst/>
                                <a:rect l="0" t="0" r="0" b="0"/>
                                <a:pathLst>
                                  <a:path w="163">
                                    <a:moveTo>
                                      <a:pt x="0" y="0"/>
                                    </a:moveTo>
                                    <a:lnTo>
                                      <a:pt x="163"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45pt;height:0pt;width:8.2pt;mso-position-horizontal-relative:page;mso-position-vertical-relative:page;z-index:251673600;mso-width-relative:page;mso-height-relative:page;" filled="f" stroked="t" coordsize="163,1" o:gfxdata="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rBTzRAAAABgEAAA8AAAAAAAAAAQAg&#10;AAAAIgAAAGRycy9kb3ducmV2LnhtbFBLAQIUABQAAAAIAIdO4kCGvsfHFQIAAFsEAAAOAAAAAAAA&#10;AAEAIAAAACABAABkcnMvZTJvRG9jLnhtbFBLBQYAAAAABgAGAFkBAACnBQAAAAA=&#10;" path="m0,0l163,0e">
                      <v:fill on="f" focussize="0,0"/>
                      <v:stroke weight="0pt" color="#000000" joinstyle="bevel" endcap="square"/>
                      <v:imagedata o:title=""/>
                      <o:lock v:ext="edit" aspectratio="f"/>
                    </v:shape>
                  </w:pict>
                </mc:Fallback>
              </mc:AlternateContent>
            </w:r>
          </w:p>
        </w:tc>
        <w:tc>
          <w:tcPr>
            <w:tcW w:w="276" w:type="dxa"/>
            <w:gridSpan w:val="2"/>
          </w:tcPr>
          <w:p>
            <w:pPr>
              <w:jc w:val="left"/>
              <w:rPr>
                <w:rFonts w:ascii="Arial" w:hAnsi="Arial" w:cs="Arial"/>
              </w:rPr>
            </w:pPr>
          </w:p>
        </w:tc>
        <w:tc>
          <w:tcPr>
            <w:tcW w:w="217" w:type="dxa"/>
            <w:gridSpan w:val="2"/>
          </w:tcPr>
          <w:p>
            <w:pPr>
              <w:jc w:val="left"/>
              <w:rPr>
                <w:rFonts w:ascii="Arial" w:hAnsi="Arial" w:cs="Arial"/>
              </w:rPr>
            </w:pPr>
          </w:p>
        </w:tc>
        <w:tc>
          <w:tcPr>
            <w:tcW w:w="173" w:type="dxa"/>
            <w:gridSpan w:val="2"/>
          </w:tcPr>
          <w:p>
            <w:pPr>
              <w:jc w:val="left"/>
              <w:rPr>
                <w:rFonts w:ascii="Arial" w:hAnsi="Arial" w:cs="Arial"/>
              </w:rPr>
            </w:pPr>
            <w:r>
              <w:rPr>
                <w:rFonts w:ascii="Arial" w:hAnsi="Arial" w:cs="Arial"/>
              </w:rPr>
              <mc:AlternateContent>
                <mc:Choice Requires="wps">
                  <w:drawing>
                    <wp:anchor distT="0" distB="0" distL="114300" distR="114300" simplePos="0" relativeHeight="251674624" behindDoc="0" locked="0" layoutInCell="1" allowOverlap="1">
                      <wp:simplePos x="0" y="0"/>
                      <wp:positionH relativeFrom="rightMargin">
                        <wp:posOffset>-107315</wp:posOffset>
                      </wp:positionH>
                      <wp:positionV relativeFrom="topMargin">
                        <wp:posOffset>66040</wp:posOffset>
                      </wp:positionV>
                      <wp:extent cx="104775" cy="0"/>
                      <wp:effectExtent l="6350" t="6350" r="5715" b="6350"/>
                      <wp:wrapNone/>
                      <wp:docPr id="214" name="任意多边形 214"/>
                      <wp:cNvGraphicFramePr/>
                      <a:graphic xmlns:a="http://schemas.openxmlformats.org/drawingml/2006/main">
                        <a:graphicData uri="http://schemas.microsoft.com/office/word/2010/wordprocessingShape">
                          <wps:wsp>
                            <wps:cNvSpPr/>
                            <wps:spPr>
                              <a:xfrm>
                                <a:off x="0" y="0"/>
                                <a:ext cx="104775" cy="0"/>
                              </a:xfrm>
                              <a:custGeom>
                                <a:avLst/>
                                <a:gdLst/>
                                <a:ahLst/>
                                <a:cxnLst/>
                                <a:rect l="0" t="0" r="0" b="0"/>
                                <a:pathLst>
                                  <a:path w="165">
                                    <a:moveTo>
                                      <a:pt x="0" y="0"/>
                                    </a:moveTo>
                                    <a:lnTo>
                                      <a:pt x="164"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1pt;margin-top:5.45pt;height:0pt;width:8.25pt;mso-position-horizontal-relative:page;mso-position-vertical-relative:page;z-index:251674624;mso-width-relative:page;mso-height-relative:page;" filled="f" stroked="t" coordsize="165,1" o:gfxdata="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fKvxfUAAAABwEAAA8AAAAA&#10;AAAAAQAgAAAAIgAAAGRycy9kb3ducmV2LnhtbFBLAQIUABQAAAAIAIdO4kBcpxiMGAIAAFsEAAAO&#10;AAAAAAAAAAEAIAAAACMBAABkcnMvZTJvRG9jLnhtbFBLBQYAAAAABgAGAFkBAACtBQAAAAA=&#10;" path="m0,0l164,0e">
                      <v:fill on="f" focussize="0,0"/>
                      <v:stroke weight="0pt" color="#000000" joinstyle="bevel" endcap="square"/>
                      <v:imagedata o:title=""/>
                      <o:lock v:ext="edit" aspectratio="f"/>
                    </v:shape>
                  </w:pict>
                </mc:Fallback>
              </mc:AlternateContent>
            </w:r>
          </w:p>
        </w:tc>
        <w:tc>
          <w:tcPr>
            <w:tcW w:w="253" w:type="dxa"/>
          </w:tcPr>
          <w:p>
            <w:pPr>
              <w:jc w:val="left"/>
              <w:rPr>
                <w:rFonts w:ascii="Arial" w:hAnsi="Arial" w:cs="Arial"/>
              </w:rPr>
            </w:pPr>
          </w:p>
        </w:tc>
        <w:tc>
          <w:tcPr>
            <w:tcW w:w="473" w:type="dxa"/>
            <w:vMerge w:val="continue"/>
            <w:tcBorders>
              <w:top w:val="nil"/>
            </w:tcBorders>
          </w:tcPr>
          <w:p>
            <w:pPr>
              <w:jc w:val="left"/>
              <w:rPr>
                <w:rFonts w:ascii="Arial" w:hAnsi="Arial" w:cs="Arial"/>
              </w:rPr>
            </w:pPr>
          </w:p>
        </w:tc>
        <w:tc>
          <w:tcPr>
            <w:tcW w:w="4094" w:type="dxa"/>
            <w:gridSpan w:val="8"/>
            <w:vMerge w:val="continue"/>
            <w:tcBorders>
              <w:top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1" w:hRule="atLeast"/>
        </w:trPr>
        <w:tc>
          <w:tcPr>
            <w:tcW w:w="2648" w:type="dxa"/>
            <w:gridSpan w:val="3"/>
          </w:tcPr>
          <w:p>
            <w:pPr>
              <w:pStyle w:val="20"/>
              <w:spacing w:before="113" w:line="212" w:lineRule="auto"/>
              <w:ind w:left="119"/>
              <w:rPr>
                <w:rFonts w:hint="eastAsia" w:ascii="宋体" w:hAnsi="宋体" w:eastAsia="宋体" w:cs="宋体"/>
              </w:rPr>
            </w:pPr>
            <w:r>
              <w:rPr>
                <w:spacing w:val="-1"/>
              </w:rPr>
              <w:t xml:space="preserve">Signatory  </w:t>
            </w:r>
            <w:r>
              <w:rPr>
                <w:rFonts w:ascii="宋体" w:hAnsi="宋体" w:eastAsia="宋体" w:cs="宋体"/>
                <w:spacing w:val="-1"/>
              </w:rPr>
              <w:t>签发人</w:t>
            </w:r>
          </w:p>
        </w:tc>
        <w:tc>
          <w:tcPr>
            <w:tcW w:w="2532" w:type="dxa"/>
            <w:gridSpan w:val="11"/>
          </w:tcPr>
          <w:p>
            <w:pPr>
              <w:jc w:val="left"/>
              <w:rPr>
                <w:rFonts w:ascii="Arial" w:hAnsi="Arial" w:cs="Arial"/>
              </w:rPr>
            </w:pPr>
          </w:p>
        </w:tc>
        <w:tc>
          <w:tcPr>
            <w:tcW w:w="4871" w:type="dxa"/>
            <w:gridSpan w:val="11"/>
            <w:vMerge w:val="restart"/>
            <w:tcBorders>
              <w:bottom w:val="nil"/>
            </w:tcBorders>
          </w:tcPr>
          <w:p>
            <w:pPr>
              <w:pStyle w:val="20"/>
              <w:spacing w:before="113" w:line="219" w:lineRule="auto"/>
              <w:ind w:left="112"/>
              <w:rPr>
                <w:rFonts w:hint="eastAsia" w:ascii="宋体" w:hAnsi="宋体" w:eastAsia="宋体" w:cs="宋体"/>
              </w:rPr>
            </w:pPr>
            <w:r>
              <w:rPr>
                <w:spacing w:val="-6"/>
              </w:rPr>
              <w:t>Seal</w:t>
            </w:r>
            <w:r>
              <w:rPr>
                <w:spacing w:val="11"/>
              </w:rPr>
              <w:t xml:space="preserve">  </w:t>
            </w:r>
            <w:r>
              <w:rPr>
                <w:rFonts w:ascii="宋体" w:hAnsi="宋体" w:eastAsia="宋体" w:cs="宋体"/>
                <w:spacing w:val="-6"/>
              </w:rPr>
              <w:t>印章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6" w:hRule="atLeast"/>
        </w:trPr>
        <w:tc>
          <w:tcPr>
            <w:tcW w:w="2648" w:type="dxa"/>
            <w:gridSpan w:val="3"/>
          </w:tcPr>
          <w:p>
            <w:pPr>
              <w:pStyle w:val="20"/>
              <w:spacing w:before="160" w:line="219" w:lineRule="auto"/>
              <w:ind w:left="113"/>
              <w:rPr>
                <w:rFonts w:hint="eastAsia" w:ascii="宋体" w:hAnsi="宋体" w:eastAsia="宋体" w:cs="宋体"/>
              </w:rPr>
            </w:pPr>
            <w:r>
              <w:rPr>
                <w:spacing w:val="-3"/>
              </w:rPr>
              <w:t>Title</w:t>
            </w:r>
            <w:r>
              <w:rPr>
                <w:spacing w:val="3"/>
              </w:rPr>
              <w:t xml:space="preserve">  </w:t>
            </w:r>
            <w:r>
              <w:rPr>
                <w:rFonts w:ascii="宋体" w:hAnsi="宋体" w:eastAsia="宋体" w:cs="宋体"/>
                <w:spacing w:val="-3"/>
              </w:rPr>
              <w:t>职务</w:t>
            </w:r>
          </w:p>
        </w:tc>
        <w:tc>
          <w:tcPr>
            <w:tcW w:w="2532" w:type="dxa"/>
            <w:gridSpan w:val="11"/>
          </w:tcPr>
          <w:p>
            <w:pPr>
              <w:jc w:val="left"/>
              <w:rPr>
                <w:rFonts w:ascii="Arial" w:hAnsi="Arial" w:cs="Arial"/>
              </w:rPr>
            </w:pPr>
          </w:p>
        </w:tc>
        <w:tc>
          <w:tcPr>
            <w:tcW w:w="4871" w:type="dxa"/>
            <w:gridSpan w:val="11"/>
            <w:vMerge w:val="continue"/>
            <w:tcBorders>
              <w:top w:val="nil"/>
              <w:bottom w:val="nil"/>
            </w:tcBorders>
          </w:tcPr>
          <w:p>
            <w:pPr>
              <w:jc w:val="left"/>
              <w:rPr>
                <w:rFonts w:ascii="Arial" w:hAnsi="Arial" w:cs="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1" w:hRule="atLeast"/>
        </w:trPr>
        <w:tc>
          <w:tcPr>
            <w:tcW w:w="2648" w:type="dxa"/>
            <w:gridSpan w:val="3"/>
          </w:tcPr>
          <w:p>
            <w:pPr>
              <w:pStyle w:val="20"/>
              <w:spacing w:before="162" w:line="220" w:lineRule="auto"/>
              <w:ind w:left="111"/>
              <w:rPr>
                <w:rFonts w:hint="eastAsia" w:ascii="宋体" w:hAnsi="宋体" w:eastAsia="宋体" w:cs="宋体"/>
              </w:rPr>
            </w:pPr>
            <w:r>
              <w:rPr>
                <w:spacing w:val="-7"/>
              </w:rPr>
              <w:t>Date</w:t>
            </w:r>
            <w:r>
              <w:rPr>
                <w:spacing w:val="38"/>
              </w:rPr>
              <w:t xml:space="preserve"> </w:t>
            </w:r>
            <w:r>
              <w:rPr>
                <w:rFonts w:ascii="宋体" w:hAnsi="宋体" w:eastAsia="宋体" w:cs="宋体"/>
                <w:spacing w:val="-7"/>
              </w:rPr>
              <w:t>日期</w:t>
            </w:r>
          </w:p>
        </w:tc>
        <w:tc>
          <w:tcPr>
            <w:tcW w:w="2532" w:type="dxa"/>
            <w:gridSpan w:val="11"/>
          </w:tcPr>
          <w:p>
            <w:pPr>
              <w:jc w:val="left"/>
              <w:rPr>
                <w:rFonts w:ascii="Arial" w:hAnsi="Arial" w:cs="Arial"/>
              </w:rPr>
            </w:pPr>
          </w:p>
        </w:tc>
        <w:tc>
          <w:tcPr>
            <w:tcW w:w="4871" w:type="dxa"/>
            <w:gridSpan w:val="11"/>
            <w:vMerge w:val="continue"/>
            <w:tcBorders>
              <w:top w:val="nil"/>
            </w:tcBorders>
          </w:tcPr>
          <w:p>
            <w:pPr>
              <w:jc w:val="left"/>
              <w:rPr>
                <w:rFonts w:ascii="Arial" w:hAnsi="Arial" w:cs="Arial"/>
              </w:rPr>
            </w:pPr>
          </w:p>
        </w:tc>
      </w:tr>
    </w:tbl>
    <w:p>
      <w:pPr>
        <w:jc w:val="left"/>
        <w:rPr>
          <w:rFonts w:hint="eastAsia"/>
        </w:rPr>
        <w:sectPr>
          <w:footerReference r:id="rId4" w:type="default"/>
          <w:pgSz w:w="11906" w:h="16838"/>
          <w:pgMar w:top="1440" w:right="1800" w:bottom="1440" w:left="1800" w:header="851" w:footer="992" w:gutter="0"/>
          <w:pgNumType w:fmt="decimal"/>
          <w:cols w:space="425" w:num="1"/>
          <w:docGrid w:type="lines" w:linePitch="312" w:charSpace="0"/>
        </w:sect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附件II:</w:t>
      </w:r>
    </w:p>
    <w:p>
      <w:pPr>
        <w:jc w:val="center"/>
        <w:rPr>
          <w:rFonts w:hint="eastAsia" w:ascii="方正仿宋_GB2312" w:hAnsi="方正仿宋_GB2312" w:eastAsia="方正仿宋_GB2312" w:cs="方正仿宋_GB2312"/>
          <w:sz w:val="32"/>
          <w:szCs w:val="32"/>
        </w:rPr>
      </w:pPr>
      <w:r>
        <w:rPr>
          <w:rFonts w:hint="eastAsia" w:ascii="黑体" w:hAnsi="黑体" w:eastAsia="黑体" w:cs="黑体"/>
          <w:sz w:val="32"/>
          <w:szCs w:val="32"/>
        </w:rPr>
        <w:t>锂电池的包装</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1.包装的一般要求</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新的、改制的、重复使用或经修复的包装、大宗包装应符合国际海事组织《国际海运危险货物规则》第6部分规定的包装试验要求。在盛装和交付运输之前，每个包装都应经过检查，保证无腐蚀、无污染或其它损坏。与被批准的设计类型相比，任何出现强度降低迹象的包装均不得使用，除非经过修复使其能够承受设计类型试验。</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危险货物须盛装在质量良好的包装内，这些包装的强度须足以承受运输过程中通常遇到的振动和压力。运输过程包括货物运输组件之间、货物运输组件与库场之间的转运以及为进行人工或机械操作在托盘上或集合包件上所作的任何搬运。</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1.3在准备运输时，包装的结构和密封性须能够在正常运输条件下防止由于振动及温度、湿度或压力的变化(如因纬度不同所致)而引起的任何内装物的损失。</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1.4包装须根据生产商提供的要求密封。在运输过程中，包件和大宗包装的外表面不得粘附有危险残余物质。</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1.5与危险货物直接接触的包装，包括大宗包装的各部分：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（1）不得因危险物质而受到影响或受到严重削弱；</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（2）不得造成危险影响，如催化反应或与危险货物发生反应；</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（3）不得允许危险货物渗出，导致正常运输条件下可能构成危险。</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必要时须进行适当的内部涂层或经适当处理。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内包装装入外包装的方法须保证在正常运输条件下不会因内包装的破裂、戳穿或渗漏而使内装物进入外包装中。易破裂或易被戳穿的内包装，如用玻璃、瓷器或陶器或某些塑料等制成的内包装，须使用合适的衬垫材料紧固于外包装内。内装物的泄漏不应明显削弱衬垫材料或外包装的保护性能。</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1.7成组货物或集合包件不得损害每个危险货物独立包件的预定功能。</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1.8须防止电池或电池组短路，防短路包括，但不限于：</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-电池两端独立保护；</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-内包装以防电池和电池组相互接触；</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-电池组采取凹陷电极设计以防短路；或</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-使用非电传导和不可燃的衬垫材料来填充包装内电池或电池之间的空隙。</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2.常规包装</w:t>
      </w:r>
    </w:p>
    <w:p>
      <w:pPr>
        <w:spacing w:line="560" w:lineRule="exact"/>
        <w:ind w:firstLine="640" w:firstLineChars="200"/>
        <w:rPr>
          <w:rFonts w:hint="eastAsia" w:ascii="方正仿宋_GB2312" w:hAnsi="方正仿宋_GB2312" w:eastAsia="方正仿宋_GB2312" w:cs="方正仿宋_GB2312"/>
          <w:sz w:val="32"/>
          <w:szCs w:val="32"/>
        </w:rPr>
      </w:pPr>
      <w:r>
        <w:rPr>
          <w:rFonts w:hint="eastAsia" w:ascii="仿宋_GB2312" w:hAnsi="仿宋_GB2312" w:eastAsia="仿宋_GB2312" w:cs="仿宋_GB2312"/>
          <w:sz w:val="32"/>
          <w:szCs w:val="32"/>
        </w:rPr>
        <w:t>2.1包装应至少满足包装类Ⅱ的性能水平，包装类型、材料、种类、最大容积和最大净重应符合表1的要求。包装内的电池单体或电池组应采取保护措施，防止电池单体或电池组因在包装中的移动或位置变化而造成损坏。</w:t>
      </w:r>
    </w:p>
    <w:p>
      <w:pPr>
        <w:spacing w:line="167" w:lineRule="exact"/>
        <w:rPr>
          <w:rFonts w:hint="eastAsia"/>
        </w:rPr>
      </w:pPr>
    </w:p>
    <w:p>
      <w:pPr>
        <w:pStyle w:val="4"/>
        <w:jc w:val="center"/>
        <w:rPr>
          <w:rFonts w:eastAsia="宋体"/>
        </w:rPr>
      </w:pPr>
      <w:r>
        <w:t>表</w:t>
      </w:r>
      <w:r>
        <w:rPr>
          <w:rFonts w:hint="eastAsia"/>
        </w:rPr>
        <w:t>1锂电池包装类型、材料、种类、最大容积和允许最大净质量</w:t>
      </w:r>
    </w:p>
    <w:tbl>
      <w:tblPr>
        <w:tblStyle w:val="19"/>
        <w:tblW w:w="92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1"/>
        <w:gridCol w:w="1731"/>
        <w:gridCol w:w="1580"/>
        <w:gridCol w:w="1176"/>
        <w:gridCol w:w="1379"/>
        <w:gridCol w:w="24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jc w:val="center"/>
        </w:trPr>
        <w:tc>
          <w:tcPr>
            <w:tcW w:w="991" w:type="dxa"/>
            <w:tcBorders>
              <w:top w:val="single" w:color="000000" w:sz="10" w:space="0"/>
              <w:left w:val="single" w:color="000000" w:sz="10" w:space="0"/>
              <w:bottom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包装类型</w:t>
            </w:r>
          </w:p>
        </w:tc>
        <w:tc>
          <w:tcPr>
            <w:tcW w:w="1731" w:type="dxa"/>
            <w:tcBorders>
              <w:top w:val="single" w:color="000000" w:sz="10" w:space="0"/>
              <w:bottom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包装材料</w:t>
            </w:r>
          </w:p>
        </w:tc>
        <w:tc>
          <w:tcPr>
            <w:tcW w:w="1580" w:type="dxa"/>
            <w:tcBorders>
              <w:top w:val="single" w:color="000000" w:sz="10" w:space="0"/>
              <w:bottom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种类</w:t>
            </w:r>
          </w:p>
        </w:tc>
        <w:tc>
          <w:tcPr>
            <w:tcW w:w="1176" w:type="dxa"/>
            <w:tcBorders>
              <w:top w:val="single" w:color="000000" w:sz="10" w:space="0"/>
              <w:bottom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包装代码</w:t>
            </w:r>
          </w:p>
        </w:tc>
        <w:tc>
          <w:tcPr>
            <w:tcW w:w="1379" w:type="dxa"/>
            <w:tcBorders>
              <w:top w:val="single" w:color="000000" w:sz="10" w:space="0"/>
              <w:bottom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最大容积L</w:t>
            </w:r>
          </w:p>
        </w:tc>
        <w:tc>
          <w:tcPr>
            <w:tcW w:w="2403" w:type="dxa"/>
            <w:tcBorders>
              <w:top w:val="single" w:color="000000" w:sz="10" w:space="0"/>
              <w:bottom w:val="single" w:color="000000" w:sz="10" w:space="0"/>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允许的最大净质量kg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7" w:hRule="atLeast"/>
          <w:jc w:val="center"/>
        </w:trPr>
        <w:tc>
          <w:tcPr>
            <w:tcW w:w="991" w:type="dxa"/>
            <w:vMerge w:val="restart"/>
            <w:tcBorders>
              <w:top w:val="single" w:color="000000" w:sz="10" w:space="0"/>
              <w:left w:val="single" w:color="000000" w:sz="10" w:space="0"/>
              <w:bottom w:val="nil"/>
            </w:tcBorders>
          </w:tcPr>
          <w:p>
            <w:pPr>
              <w:spacing w:line="351" w:lineRule="auto"/>
              <w:jc w:val="center"/>
              <w:rPr>
                <w:rFonts w:hint="eastAsia" w:asciiTheme="majorEastAsia" w:hAnsiTheme="majorEastAsia" w:eastAsiaTheme="majorEastAsia" w:cstheme="majorEastAsia"/>
              </w:rPr>
            </w:pPr>
          </w:p>
          <w:p>
            <w:pPr>
              <w:spacing w:line="351" w:lineRule="auto"/>
              <w:jc w:val="center"/>
              <w:rPr>
                <w:rFonts w:hint="eastAsia" w:asciiTheme="majorEastAsia" w:hAnsiTheme="majorEastAsia" w:eastAsiaTheme="majorEastAsia" w:cstheme="majorEastAsia"/>
              </w:rPr>
            </w:pPr>
          </w:p>
          <w:p>
            <w:pPr>
              <w:spacing w:line="351" w:lineRule="auto"/>
              <w:jc w:val="center"/>
              <w:rPr>
                <w:rFonts w:hint="eastAsia" w:asciiTheme="majorEastAsia" w:hAnsiTheme="majorEastAsia" w:eastAsiaTheme="majorEastAsia" w:cstheme="majorEastAsia"/>
              </w:rPr>
            </w:pPr>
          </w:p>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桶</w:t>
            </w:r>
          </w:p>
        </w:tc>
        <w:tc>
          <w:tcPr>
            <w:tcW w:w="1731" w:type="dxa"/>
            <w:tcBorders>
              <w:top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钢</w:t>
            </w:r>
          </w:p>
        </w:tc>
        <w:tc>
          <w:tcPr>
            <w:tcW w:w="1580" w:type="dxa"/>
            <w:tcBorders>
              <w:top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可拆卸顶盖</w:t>
            </w:r>
          </w:p>
        </w:tc>
        <w:tc>
          <w:tcPr>
            <w:tcW w:w="1176" w:type="dxa"/>
            <w:tcBorders>
              <w:top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1A2</w:t>
            </w:r>
          </w:p>
        </w:tc>
        <w:tc>
          <w:tcPr>
            <w:tcW w:w="1379" w:type="dxa"/>
            <w:tcBorders>
              <w:top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450</w:t>
            </w:r>
          </w:p>
        </w:tc>
        <w:tc>
          <w:tcPr>
            <w:tcW w:w="2403" w:type="dxa"/>
            <w:tcBorders>
              <w:top w:val="single" w:color="000000" w:sz="10" w:space="0"/>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jc w:val="center"/>
        </w:trPr>
        <w:tc>
          <w:tcPr>
            <w:tcW w:w="991" w:type="dxa"/>
            <w:vMerge w:val="continue"/>
            <w:tcBorders>
              <w:top w:val="nil"/>
              <w:left w:val="single" w:color="000000" w:sz="10" w:space="0"/>
              <w:bottom w:val="nil"/>
            </w:tcBorders>
          </w:tcPr>
          <w:p>
            <w:pPr>
              <w:spacing w:line="351" w:lineRule="auto"/>
              <w:jc w:val="center"/>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铝</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可拆卸顶盖</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1B2</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450</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jc w:val="center"/>
        </w:trPr>
        <w:tc>
          <w:tcPr>
            <w:tcW w:w="991" w:type="dxa"/>
            <w:vMerge w:val="continue"/>
            <w:tcBorders>
              <w:top w:val="nil"/>
              <w:left w:val="single" w:color="000000" w:sz="10" w:space="0"/>
              <w:bottom w:val="nil"/>
            </w:tcBorders>
          </w:tcPr>
          <w:p>
            <w:pPr>
              <w:spacing w:line="351" w:lineRule="auto"/>
              <w:jc w:val="center"/>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金属（除钢和铝）</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可拆卸顶盖</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1N2</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450</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jc w:val="center"/>
        </w:trPr>
        <w:tc>
          <w:tcPr>
            <w:tcW w:w="991" w:type="dxa"/>
            <w:vMerge w:val="continue"/>
            <w:tcBorders>
              <w:top w:val="nil"/>
              <w:left w:val="single" w:color="000000" w:sz="10" w:space="0"/>
              <w:bottom w:val="nil"/>
            </w:tcBorders>
          </w:tcPr>
          <w:p>
            <w:pPr>
              <w:spacing w:line="351" w:lineRule="auto"/>
              <w:jc w:val="center"/>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塑料</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可拆卸顶盖</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1H2</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450</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jc w:val="center"/>
        </w:trPr>
        <w:tc>
          <w:tcPr>
            <w:tcW w:w="991" w:type="dxa"/>
            <w:vMerge w:val="continue"/>
            <w:tcBorders>
              <w:top w:val="nil"/>
              <w:left w:val="single" w:color="000000" w:sz="10" w:space="0"/>
              <w:bottom w:val="nil"/>
            </w:tcBorders>
          </w:tcPr>
          <w:p>
            <w:pPr>
              <w:spacing w:line="351" w:lineRule="auto"/>
              <w:jc w:val="center"/>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胶合板</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1D</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250</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jc w:val="center"/>
        </w:trPr>
        <w:tc>
          <w:tcPr>
            <w:tcW w:w="991" w:type="dxa"/>
            <w:vMerge w:val="continue"/>
            <w:tcBorders>
              <w:top w:val="nil"/>
              <w:left w:val="single" w:color="000000" w:sz="10" w:space="0"/>
            </w:tcBorders>
          </w:tcPr>
          <w:p>
            <w:pPr>
              <w:spacing w:line="351" w:lineRule="auto"/>
              <w:jc w:val="center"/>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纤维板</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1G</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450</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restart"/>
            <w:tcBorders>
              <w:left w:val="single" w:color="000000" w:sz="10" w:space="0"/>
            </w:tcBorders>
          </w:tcPr>
          <w:p>
            <w:pPr>
              <w:spacing w:line="351" w:lineRule="auto"/>
              <w:jc w:val="center"/>
              <w:rPr>
                <w:rFonts w:hint="eastAsia" w:asciiTheme="majorEastAsia" w:hAnsiTheme="majorEastAsia" w:eastAsiaTheme="majorEastAsia" w:cstheme="majorEastAsia"/>
              </w:rPr>
            </w:pPr>
          </w:p>
          <w:p>
            <w:pPr>
              <w:spacing w:line="351" w:lineRule="auto"/>
              <w:jc w:val="center"/>
              <w:rPr>
                <w:rFonts w:hint="eastAsia" w:asciiTheme="majorEastAsia" w:hAnsiTheme="majorEastAsia" w:eastAsiaTheme="majorEastAsia" w:cstheme="majorEastAsia"/>
              </w:rPr>
            </w:pPr>
          </w:p>
          <w:p>
            <w:pPr>
              <w:spacing w:line="351" w:lineRule="auto"/>
              <w:jc w:val="center"/>
              <w:rPr>
                <w:rFonts w:hint="eastAsia" w:asciiTheme="majorEastAsia" w:hAnsiTheme="majorEastAsia" w:eastAsiaTheme="majorEastAsia" w:cstheme="majorEastAsia"/>
              </w:rPr>
            </w:pPr>
          </w:p>
          <w:p>
            <w:pPr>
              <w:spacing w:line="351" w:lineRule="auto"/>
              <w:jc w:val="center"/>
              <w:rPr>
                <w:rFonts w:hint="eastAsia" w:asciiTheme="majorEastAsia" w:hAnsiTheme="majorEastAsia" w:eastAsiaTheme="majorEastAsia" w:cstheme="majorEastAsia"/>
              </w:rPr>
            </w:pPr>
          </w:p>
          <w:p>
            <w:pPr>
              <w:spacing w:line="351" w:lineRule="auto"/>
              <w:jc w:val="center"/>
              <w:rPr>
                <w:rFonts w:hint="eastAsia" w:asciiTheme="majorEastAsia" w:hAnsiTheme="majorEastAsia" w:eastAsiaTheme="majorEastAsia" w:cstheme="majorEastAsia"/>
              </w:rPr>
            </w:pPr>
          </w:p>
          <w:p>
            <w:pPr>
              <w:spacing w:line="351" w:lineRule="auto"/>
              <w:jc w:val="center"/>
              <w:rPr>
                <w:rFonts w:hint="eastAsia" w:asciiTheme="majorEastAsia" w:hAnsiTheme="majorEastAsia" w:eastAsiaTheme="majorEastAsia" w:cstheme="majorEastAsia"/>
              </w:rPr>
            </w:pPr>
          </w:p>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箱</w:t>
            </w: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钢</w:t>
            </w:r>
          </w:p>
        </w:tc>
        <w:tc>
          <w:tcPr>
            <w:tcW w:w="1580" w:type="dxa"/>
          </w:tcPr>
          <w:p>
            <w:pPr>
              <w:spacing w:line="351" w:lineRule="auto"/>
              <w:jc w:val="center"/>
              <w:rPr>
                <w:rFonts w:hint="eastAsia" w:asciiTheme="majorEastAsia" w:hAnsiTheme="majorEastAsia" w:eastAsiaTheme="majorEastAsia" w:cstheme="majorEastAsia"/>
              </w:rPr>
            </w:pP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4A</w:t>
            </w:r>
          </w:p>
        </w:tc>
        <w:tc>
          <w:tcPr>
            <w:tcW w:w="1379" w:type="dxa"/>
          </w:tcPr>
          <w:p>
            <w:pPr>
              <w:spacing w:line="351" w:lineRule="auto"/>
              <w:jc w:val="center"/>
              <w:rPr>
                <w:rFonts w:hint="eastAsia" w:asciiTheme="majorEastAsia" w:hAnsiTheme="majorEastAsia" w:eastAsiaTheme="majorEastAsia" w:cstheme="majorEastAsia"/>
              </w:rPr>
            </w:pP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continue"/>
            <w:tcBorders>
              <w:left w:val="single" w:color="000000" w:sz="10" w:space="0"/>
            </w:tcBorders>
          </w:tcPr>
          <w:p>
            <w:pPr>
              <w:spacing w:line="351" w:lineRule="auto"/>
              <w:jc w:val="center"/>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铝</w:t>
            </w:r>
          </w:p>
        </w:tc>
        <w:tc>
          <w:tcPr>
            <w:tcW w:w="1580" w:type="dxa"/>
          </w:tcPr>
          <w:p>
            <w:pPr>
              <w:spacing w:line="351" w:lineRule="auto"/>
              <w:jc w:val="center"/>
              <w:rPr>
                <w:rFonts w:hint="eastAsia" w:asciiTheme="majorEastAsia" w:hAnsiTheme="majorEastAsia" w:eastAsiaTheme="majorEastAsia" w:cstheme="majorEastAsia"/>
              </w:rPr>
            </w:pP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4B</w:t>
            </w:r>
          </w:p>
        </w:tc>
        <w:tc>
          <w:tcPr>
            <w:tcW w:w="1379" w:type="dxa"/>
          </w:tcPr>
          <w:p>
            <w:pPr>
              <w:spacing w:line="351" w:lineRule="auto"/>
              <w:jc w:val="center"/>
              <w:rPr>
                <w:rFonts w:hint="eastAsia" w:asciiTheme="majorEastAsia" w:hAnsiTheme="majorEastAsia" w:eastAsiaTheme="majorEastAsia" w:cstheme="majorEastAsia"/>
              </w:rPr>
            </w:pP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continue"/>
            <w:tcBorders>
              <w:left w:val="single" w:color="000000" w:sz="10" w:space="0"/>
            </w:tcBorders>
          </w:tcPr>
          <w:p>
            <w:pPr>
              <w:spacing w:line="351" w:lineRule="auto"/>
              <w:jc w:val="center"/>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金属（除钢和铝）</w:t>
            </w:r>
          </w:p>
        </w:tc>
        <w:tc>
          <w:tcPr>
            <w:tcW w:w="1580" w:type="dxa"/>
          </w:tcPr>
          <w:p>
            <w:pPr>
              <w:spacing w:line="351" w:lineRule="auto"/>
              <w:jc w:val="center"/>
              <w:rPr>
                <w:rFonts w:hint="eastAsia" w:asciiTheme="majorEastAsia" w:hAnsiTheme="majorEastAsia" w:eastAsiaTheme="majorEastAsia" w:cstheme="majorEastAsia"/>
              </w:rPr>
            </w:pP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4N</w:t>
            </w:r>
          </w:p>
        </w:tc>
        <w:tc>
          <w:tcPr>
            <w:tcW w:w="1379" w:type="dxa"/>
          </w:tcPr>
          <w:p>
            <w:pPr>
              <w:spacing w:line="351" w:lineRule="auto"/>
              <w:jc w:val="center"/>
              <w:rPr>
                <w:rFonts w:hint="eastAsia" w:asciiTheme="majorEastAsia" w:hAnsiTheme="majorEastAsia" w:eastAsiaTheme="majorEastAsia" w:cstheme="majorEastAsia"/>
              </w:rPr>
            </w:pP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continue"/>
            <w:tcBorders>
              <w:left w:val="single" w:color="000000" w:sz="10" w:space="0"/>
            </w:tcBorders>
          </w:tcPr>
          <w:p>
            <w:pPr>
              <w:spacing w:line="351" w:lineRule="auto"/>
              <w:jc w:val="center"/>
              <w:rPr>
                <w:rFonts w:hint="eastAsia" w:asciiTheme="majorEastAsia" w:hAnsiTheme="majorEastAsia" w:eastAsiaTheme="majorEastAsia" w:cstheme="majorEastAsia"/>
              </w:rPr>
            </w:pPr>
          </w:p>
        </w:tc>
        <w:tc>
          <w:tcPr>
            <w:tcW w:w="1731" w:type="dxa"/>
            <w:vMerge w:val="restart"/>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天然木</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普通的</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4C1</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continue"/>
            <w:tcBorders>
              <w:left w:val="single" w:color="000000" w:sz="10" w:space="0"/>
            </w:tcBorders>
          </w:tcPr>
          <w:p>
            <w:pPr>
              <w:spacing w:line="351" w:lineRule="auto"/>
              <w:jc w:val="center"/>
              <w:rPr>
                <w:rFonts w:hint="eastAsia" w:asciiTheme="majorEastAsia" w:hAnsiTheme="majorEastAsia" w:eastAsiaTheme="majorEastAsia" w:cstheme="majorEastAsia"/>
              </w:rPr>
            </w:pPr>
          </w:p>
        </w:tc>
        <w:tc>
          <w:tcPr>
            <w:tcW w:w="1731" w:type="dxa"/>
            <w:vMerge w:val="continue"/>
          </w:tcPr>
          <w:p>
            <w:pPr>
              <w:spacing w:line="351" w:lineRule="auto"/>
              <w:jc w:val="center"/>
              <w:rPr>
                <w:rFonts w:hint="eastAsia" w:asciiTheme="majorEastAsia" w:hAnsiTheme="majorEastAsia" w:eastAsiaTheme="majorEastAsia" w:cstheme="majorEastAsia"/>
              </w:rPr>
            </w:pP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箱壁防撒漏的</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4C2</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continue"/>
            <w:tcBorders>
              <w:left w:val="single" w:color="000000" w:sz="10" w:space="0"/>
            </w:tcBorders>
          </w:tcPr>
          <w:p>
            <w:pPr>
              <w:spacing w:line="351" w:lineRule="auto"/>
              <w:jc w:val="center"/>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胶合板</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4D</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continue"/>
            <w:tcBorders>
              <w:left w:val="single" w:color="000000" w:sz="10" w:space="0"/>
            </w:tcBorders>
          </w:tcPr>
          <w:p>
            <w:pPr>
              <w:spacing w:line="351" w:lineRule="auto"/>
              <w:jc w:val="center"/>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再生木</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4F</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continue"/>
            <w:tcBorders>
              <w:left w:val="single" w:color="000000" w:sz="10" w:space="0"/>
            </w:tcBorders>
          </w:tcPr>
          <w:p>
            <w:pPr>
              <w:spacing w:line="351" w:lineRule="auto"/>
              <w:jc w:val="center"/>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纤维板</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4G</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continue"/>
            <w:tcBorders>
              <w:left w:val="single" w:color="000000" w:sz="10" w:space="0"/>
            </w:tcBorders>
          </w:tcPr>
          <w:p>
            <w:pPr>
              <w:spacing w:line="351" w:lineRule="auto"/>
              <w:jc w:val="center"/>
              <w:rPr>
                <w:rFonts w:hint="eastAsia" w:asciiTheme="majorEastAsia" w:hAnsiTheme="majorEastAsia" w:eastAsiaTheme="majorEastAsia" w:cstheme="majorEastAsia"/>
              </w:rPr>
            </w:pPr>
          </w:p>
        </w:tc>
        <w:tc>
          <w:tcPr>
            <w:tcW w:w="1731" w:type="dxa"/>
            <w:vMerge w:val="restart"/>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塑料</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泡沫</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4H1</w:t>
            </w:r>
          </w:p>
        </w:tc>
        <w:tc>
          <w:tcPr>
            <w:tcW w:w="1379" w:type="dxa"/>
          </w:tcPr>
          <w:p>
            <w:pPr>
              <w:spacing w:line="351" w:lineRule="auto"/>
              <w:jc w:val="center"/>
              <w:rPr>
                <w:rFonts w:hint="eastAsia" w:asciiTheme="majorEastAsia" w:hAnsiTheme="majorEastAsia" w:eastAsiaTheme="majorEastAsia" w:cstheme="majorEastAsia"/>
              </w:rPr>
            </w:pP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continue"/>
            <w:tcBorders>
              <w:left w:val="single" w:color="000000" w:sz="10" w:space="0"/>
            </w:tcBorders>
          </w:tcPr>
          <w:p>
            <w:pPr>
              <w:spacing w:line="351" w:lineRule="auto"/>
              <w:jc w:val="center"/>
              <w:rPr>
                <w:rFonts w:hint="eastAsia" w:asciiTheme="majorEastAsia" w:hAnsiTheme="majorEastAsia" w:eastAsiaTheme="majorEastAsia" w:cstheme="majorEastAsia"/>
              </w:rPr>
            </w:pPr>
          </w:p>
        </w:tc>
        <w:tc>
          <w:tcPr>
            <w:tcW w:w="1731" w:type="dxa"/>
            <w:vMerge w:val="continue"/>
          </w:tcPr>
          <w:p>
            <w:pPr>
              <w:spacing w:line="351" w:lineRule="auto"/>
              <w:jc w:val="center"/>
              <w:rPr>
                <w:rFonts w:hint="eastAsia" w:asciiTheme="majorEastAsia" w:hAnsiTheme="majorEastAsia" w:eastAsiaTheme="majorEastAsia" w:cstheme="majorEastAsia"/>
              </w:rPr>
            </w:pP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硬质</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4H2</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restart"/>
            <w:tcBorders>
              <w:left w:val="single" w:color="000000" w:sz="10" w:space="0"/>
            </w:tcBorders>
          </w:tcPr>
          <w:p>
            <w:pPr>
              <w:spacing w:line="351" w:lineRule="auto"/>
              <w:jc w:val="center"/>
              <w:rPr>
                <w:rFonts w:hint="eastAsia" w:asciiTheme="majorEastAsia" w:hAnsiTheme="majorEastAsia" w:eastAsiaTheme="majorEastAsia" w:cstheme="majorEastAsia"/>
              </w:rPr>
            </w:pPr>
          </w:p>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罐</w:t>
            </w: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钢</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可拆卸顶盖</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3A2</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60</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continue"/>
            <w:tcBorders>
              <w:left w:val="single" w:color="000000" w:sz="10" w:space="0"/>
            </w:tcBorders>
          </w:tcPr>
          <w:p>
            <w:pPr>
              <w:spacing w:line="351" w:lineRule="auto"/>
              <w:jc w:val="center"/>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铝</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可拆卸顶盖</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3B2</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60</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991" w:type="dxa"/>
            <w:vMerge w:val="continue"/>
            <w:tcBorders>
              <w:left w:val="single" w:color="000000" w:sz="10" w:space="0"/>
            </w:tcBorders>
          </w:tcPr>
          <w:p>
            <w:pPr>
              <w:spacing w:line="351" w:lineRule="auto"/>
              <w:jc w:val="left"/>
              <w:rPr>
                <w:rFonts w:hint="eastAsia" w:asciiTheme="majorEastAsia" w:hAnsiTheme="majorEastAsia" w:eastAsiaTheme="majorEastAsia" w:cstheme="majorEastAsia"/>
              </w:rPr>
            </w:pPr>
          </w:p>
        </w:tc>
        <w:tc>
          <w:tcPr>
            <w:tcW w:w="1731"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塑料</w:t>
            </w:r>
          </w:p>
        </w:tc>
        <w:tc>
          <w:tcPr>
            <w:tcW w:w="1580"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可拆卸顶盖</w:t>
            </w:r>
          </w:p>
        </w:tc>
        <w:tc>
          <w:tcPr>
            <w:tcW w:w="1176"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3H2</w:t>
            </w:r>
          </w:p>
        </w:tc>
        <w:tc>
          <w:tcPr>
            <w:tcW w:w="1379" w:type="dxa"/>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60</w:t>
            </w:r>
          </w:p>
        </w:tc>
        <w:tc>
          <w:tcPr>
            <w:tcW w:w="2403" w:type="dxa"/>
            <w:tcBorders>
              <w:right w:val="single" w:color="000000" w:sz="10" w:space="0"/>
            </w:tcBorders>
          </w:tcPr>
          <w:p>
            <w:pPr>
              <w:spacing w:line="351"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120</w:t>
            </w:r>
          </w:p>
        </w:tc>
      </w:tr>
    </w:tbl>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2.2对于总重在12千克或以上，采用坚固、耐碰撞外壳的单个电池单体或单个电池组，还需：</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(a)坚固的外包装；</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(b)保护外罩(如完全封闭的或木制的板条箱)；或</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(c)托盘或其它搬运设备。</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电池或电池组须紧固以防止意外移动，电极不得承受其它堆放物品的重量。</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包装不需符合国际海事组织《国际海运危险货物规则》第6部分规定的包装试验要求，包装净重可超过400kg。</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2.3与设备包装在一起的电池和电池组，应满足以下条件之一:</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(a)包装须符合上述常规包装第1点要求，然后与设备一起放在外包装中；或</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(b)包装将电池和电池组完全包裹，然后再与设备一起放在符合上述常规包装第1点要求的包装中。</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设备必须固定，不得在外包装中移动。</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装在设备中的电池和电池组：外包装须使用足够坚固的材料制造，设计上须符合容量和用途的要求。设备的构造或包装须能防止运输中的意外操作。包装无需符合国际海事组织《国际海运危险货物规则》第6部分规定的包装试验要求，包装净重可超过400kg。</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2.5大型设备，如其中的电池或电池组已得到与设备同等程度的保护，可在无包装的条件下或放在托盘上运输。</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2.6对于装有电池或电池组并与设备一起包装且包含在设备中的包装，应满足以下条件之一：</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(a)包装将电池和电池组完全包裹，然后再与设备一起放在符合上述常规包装第1点要求的包装中。或</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符合上述常规包装第1点要求的包装，然后与设备一起放在一个由适当材料制成的坚固的外包装中，并具有与包装容量和预期用途相适应的足够强度和设计。外包装的构造须能防止在运输过程中发生意外操作，包装无需符合国际海事组织《国际海运危险货物规则》第6部分规定的包装试验要求，包装净重可超过400kg。</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在外包装中的设备，应固定以防止移动。</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2.7大宗包装适用于单个电池组和含有电池组的单一设备，认可由以下材料组成并满足包装类Ⅱ性能标准的刚性大宗包装：</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钢(50A)；铝(50B)；金属(钢除外)或铝(50N)；刚性塑料(50H)；天然木(50C)；胶合板(50D)；再生木(50F)；刚性纤维板(50G)。</w:t>
      </w:r>
    </w:p>
    <w:p>
      <w:pPr>
        <w:spacing w:line="580" w:lineRule="exact"/>
        <w:ind w:firstLine="640" w:firstLineChars="200"/>
        <w:jc w:val="left"/>
        <w:rPr>
          <w:rFonts w:hint="eastAsia" w:ascii="仿宋_GB2312" w:hAnsi="仿宋_GB2312" w:eastAsia="仿宋_GB2312" w:cs="仿宋_GB2312"/>
          <w:sz w:val="32"/>
          <w:szCs w:val="32"/>
        </w:rPr>
        <w:sectPr>
          <w:footerReference r:id="rId5" w:type="default"/>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sz w:val="32"/>
          <w:szCs w:val="32"/>
        </w:rPr>
        <w:t>电池的包装须使其受到保护，以防止其移动或放置在大宗包装内可能造成的损坏。</w:t>
      </w:r>
      <w:r>
        <w:rPr>
          <w:rFonts w:hint="eastAsia" w:ascii="仿宋_GB2312" w:hAnsi="仿宋_GB2312" w:eastAsia="仿宋_GB2312" w:cs="仿宋_GB2312"/>
          <w:sz w:val="32"/>
          <w:szCs w:val="32"/>
        </w:rPr>
        <w:tab/>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附件III:</w:t>
      </w:r>
    </w:p>
    <w:p>
      <w:pPr>
        <w:jc w:val="center"/>
        <w:rPr>
          <w:rFonts w:hint="eastAsia" w:ascii="黑体" w:hAnsi="黑体" w:eastAsia="黑体" w:cs="黑体"/>
          <w:sz w:val="32"/>
          <w:szCs w:val="32"/>
        </w:rPr>
      </w:pPr>
      <w:r>
        <w:rPr>
          <w:rFonts w:hint="eastAsia" w:ascii="黑体" w:hAnsi="黑体" w:eastAsia="黑体" w:cs="黑体"/>
          <w:sz w:val="32"/>
          <w:szCs w:val="32"/>
        </w:rPr>
        <w:t>标志、标牌及标记</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1.标志</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志应为与水平线呈45°放置的正方形，正方形的最小尺寸为100mm×100mm，带有距离边缘向里5mm且与边缘平行的实线或虚线。锂电池标志符号上半部分为七个黑色的竖条，下半部分图案为一组电池示意图，其中一个为损坏的电池且喷出火焰。标志的底角处有一个加下划线的数字“9”。如包件尺寸较小，则标志和要素尺寸可以按照比例缩小，但符号和标志的其他要素应清晰可见。（图1，9A标志）</w:t>
      </w:r>
    </w:p>
    <w:p>
      <w:pPr>
        <w:spacing w:line="580" w:lineRule="exact"/>
        <w:jc w:val="center"/>
        <w:rPr>
          <w:rFonts w:hint="eastAsia" w:ascii="仿宋_GB2312" w:hAnsi="仿宋_GB2312" w:eastAsia="仿宋_GB2312" w:cs="仿宋_GB2312"/>
          <w:sz w:val="32"/>
          <w:szCs w:val="32"/>
        </w:rPr>
      </w:pPr>
      <w:r>
        <w:rPr>
          <w:rFonts w:hint="eastAsia" w:ascii="黑体" w:hAnsi="黑体" w:eastAsia="黑体" w:cs="黑体"/>
          <w:position w:val="-45"/>
          <w:sz w:val="20"/>
          <w:szCs w:val="20"/>
        </w:rPr>
        <w:drawing>
          <wp:anchor distT="0" distB="0" distL="0" distR="0" simplePos="0" relativeHeight="251676672" behindDoc="0" locked="0" layoutInCell="1" allowOverlap="1">
            <wp:simplePos x="0" y="0"/>
            <wp:positionH relativeFrom="column">
              <wp:posOffset>1868805</wp:posOffset>
            </wp:positionH>
            <wp:positionV relativeFrom="paragraph">
              <wp:posOffset>105410</wp:posOffset>
            </wp:positionV>
            <wp:extent cx="1631950" cy="1573530"/>
            <wp:effectExtent l="0" t="0" r="19050" b="1270"/>
            <wp:wrapTopAndBottom/>
            <wp:docPr id="161" name="IM 26"/>
            <wp:cNvGraphicFramePr/>
            <a:graphic xmlns:a="http://schemas.openxmlformats.org/drawingml/2006/main">
              <a:graphicData uri="http://schemas.openxmlformats.org/drawingml/2006/picture">
                <pic:pic xmlns:pic="http://schemas.openxmlformats.org/drawingml/2006/picture">
                  <pic:nvPicPr>
                    <pic:cNvPr id="161" name="IM 26"/>
                    <pic:cNvPicPr/>
                  </pic:nvPicPr>
                  <pic:blipFill>
                    <a:blip r:embed="rId18"/>
                    <a:stretch>
                      <a:fillRect/>
                    </a:stretch>
                  </pic:blipFill>
                  <pic:spPr>
                    <a:xfrm>
                      <a:off x="0" y="0"/>
                      <a:ext cx="1631950" cy="1573530"/>
                    </a:xfrm>
                    <a:prstGeom prst="rect">
                      <a:avLst/>
                    </a:prstGeom>
                  </pic:spPr>
                </pic:pic>
              </a:graphicData>
            </a:graphic>
          </wp:anchor>
        </w:drawing>
      </w:r>
      <w:r>
        <w:rPr>
          <w:rFonts w:hint="eastAsia" w:ascii="黑体" w:hAnsi="黑体" w:eastAsia="黑体" w:cs="黑体"/>
          <w:sz w:val="20"/>
          <w:szCs w:val="20"/>
        </w:rPr>
        <w:t>图1锂电池标志图例</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2.标牌</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标牌应为与水平线呈45°放置的正方形，正方形的最小尺寸为250mm×250mm，带有距离边缘向里12.5mm且与边缘平行的实线或虚线。集装箱四周须正确张贴第9类危险货物标牌及相应的联合国编号。（图2）</w:t>
      </w:r>
    </w:p>
    <w:p>
      <w:pPr>
        <w:spacing w:line="580" w:lineRule="exact"/>
        <w:jc w:val="center"/>
        <w:rPr>
          <w:rFonts w:hint="eastAsia" w:ascii="黑体" w:hAnsi="黑体" w:eastAsia="黑体" w:cs="黑体"/>
          <w:sz w:val="20"/>
          <w:szCs w:val="20"/>
        </w:rPr>
      </w:pPr>
    </w:p>
    <w:p>
      <w:pPr>
        <w:spacing w:line="580" w:lineRule="exact"/>
        <w:jc w:val="center"/>
        <w:rPr>
          <w:rFonts w:hint="eastAsia" w:ascii="黑体" w:hAnsi="黑体" w:eastAsia="黑体" w:cs="黑体"/>
          <w:sz w:val="20"/>
          <w:szCs w:val="20"/>
        </w:rPr>
      </w:pPr>
    </w:p>
    <w:p>
      <w:pPr>
        <w:spacing w:line="580" w:lineRule="exact"/>
        <w:rPr>
          <w:rFonts w:hint="eastAsia" w:ascii="黑体" w:hAnsi="黑体" w:eastAsia="黑体" w:cs="黑体"/>
          <w:sz w:val="20"/>
          <w:szCs w:val="20"/>
        </w:rPr>
      </w:pPr>
    </w:p>
    <w:p>
      <w:pPr>
        <w:spacing w:line="580" w:lineRule="exact"/>
        <w:jc w:val="center"/>
        <w:rPr>
          <w:rFonts w:hint="eastAsia" w:ascii="仿宋_GB2312" w:hAnsi="仿宋_GB2312" w:eastAsia="仿宋_GB2312" w:cs="仿宋_GB2312"/>
          <w:sz w:val="32"/>
          <w:szCs w:val="32"/>
        </w:rPr>
      </w:pPr>
      <w:r>
        <w:rPr>
          <w:rFonts w:hint="eastAsia" w:ascii="黑体" w:hAnsi="黑体" w:eastAsia="黑体" w:cs="黑体"/>
          <w:position w:val="-41"/>
          <w:sz w:val="20"/>
          <w:szCs w:val="20"/>
        </w:rPr>
        <w:drawing>
          <wp:anchor distT="0" distB="0" distL="0" distR="0" simplePos="0" relativeHeight="251677696" behindDoc="0" locked="0" layoutInCell="1" allowOverlap="1">
            <wp:simplePos x="0" y="0"/>
            <wp:positionH relativeFrom="column">
              <wp:posOffset>1910715</wp:posOffset>
            </wp:positionH>
            <wp:positionV relativeFrom="paragraph">
              <wp:posOffset>351155</wp:posOffset>
            </wp:positionV>
            <wp:extent cx="1514475" cy="1526540"/>
            <wp:effectExtent l="0" t="0" r="9525" b="22860"/>
            <wp:wrapTopAndBottom/>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9"/>
                    <a:stretch>
                      <a:fillRect/>
                    </a:stretch>
                  </pic:blipFill>
                  <pic:spPr>
                    <a:xfrm>
                      <a:off x="0" y="0"/>
                      <a:ext cx="1514475" cy="1526540"/>
                    </a:xfrm>
                    <a:prstGeom prst="rect">
                      <a:avLst/>
                    </a:prstGeom>
                  </pic:spPr>
                </pic:pic>
              </a:graphicData>
            </a:graphic>
          </wp:anchor>
        </w:drawing>
      </w:r>
      <w:r>
        <w:rPr>
          <w:rFonts w:hint="eastAsia" w:ascii="黑体" w:hAnsi="黑体" w:eastAsia="黑体" w:cs="黑体"/>
          <w:sz w:val="20"/>
          <w:szCs w:val="20"/>
        </w:rPr>
        <w:t>图2锂电池标牌图例</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当货物总重超过4000公斤时，且货物运输组件内只有一个联合国编号，则标牌应显示UN编号，具体方法如下：</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2.1联合国编号须以黑色数字表示，数字高度不小于65mm，而且在符号与类别号或配装类号之间的区域，与白色底色形成鲜明对比，并不影响标牌其他要素。（图3）</w:t>
      </w:r>
    </w:p>
    <w:p>
      <w:pPr>
        <w:spacing w:line="580" w:lineRule="exact"/>
        <w:jc w:val="center"/>
        <w:rPr>
          <w:rFonts w:hint="eastAsia" w:ascii="黑体" w:hAnsi="黑体" w:eastAsia="黑体" w:cs="黑体"/>
          <w:sz w:val="20"/>
          <w:szCs w:val="20"/>
        </w:rPr>
      </w:pPr>
      <w:r>
        <w:rPr>
          <w:rFonts w:hint="eastAsia" w:ascii="黑体" w:hAnsi="黑体" w:eastAsia="黑体" w:cs="黑体"/>
          <w:position w:val="-56"/>
          <w:sz w:val="20"/>
          <w:szCs w:val="20"/>
        </w:rPr>
        <w:drawing>
          <wp:anchor distT="0" distB="0" distL="0" distR="0" simplePos="0" relativeHeight="251678720" behindDoc="0" locked="0" layoutInCell="1" allowOverlap="1">
            <wp:simplePos x="0" y="0"/>
            <wp:positionH relativeFrom="column">
              <wp:posOffset>1373505</wp:posOffset>
            </wp:positionH>
            <wp:positionV relativeFrom="paragraph">
              <wp:posOffset>172085</wp:posOffset>
            </wp:positionV>
            <wp:extent cx="2654300" cy="1779905"/>
            <wp:effectExtent l="0" t="0" r="12700" b="23495"/>
            <wp:wrapTopAndBottom/>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0"/>
                    <a:stretch>
                      <a:fillRect/>
                    </a:stretch>
                  </pic:blipFill>
                  <pic:spPr>
                    <a:xfrm>
                      <a:off x="0" y="0"/>
                      <a:ext cx="2654807" cy="1780032"/>
                    </a:xfrm>
                    <a:prstGeom prst="rect">
                      <a:avLst/>
                    </a:prstGeom>
                  </pic:spPr>
                </pic:pic>
              </a:graphicData>
            </a:graphic>
          </wp:anchor>
        </w:drawing>
      </w:r>
      <w:r>
        <w:rPr>
          <w:rFonts w:hint="eastAsia" w:ascii="黑体" w:hAnsi="黑体" w:eastAsia="黑体" w:cs="黑体"/>
          <w:sz w:val="20"/>
          <w:szCs w:val="20"/>
        </w:rPr>
        <w:t>图3标牌内显示联合国编号的标牌图例</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或显示高不小于120mm，宽不小于300mm，四周带有10mm黑框的橘黄色长方形板上，位置紧靠标牌或海洋污染物标记，如图10。对于容量不超过3000L的可移动罐柜，UN编号可适当缩小尺寸显示在罐体表面的桔黄色长方形板内，字符不小于25mm。（图4）</w:t>
      </w:r>
    </w:p>
    <w:p>
      <w:pPr>
        <w:spacing w:line="580" w:lineRule="exact"/>
        <w:ind w:firstLine="640" w:firstLineChars="200"/>
        <w:rPr>
          <w:rFonts w:hint="eastAsia" w:ascii="仿宋_GB2312" w:hAnsi="仿宋_GB2312" w:eastAsia="仿宋_GB2312" w:cs="仿宋_GB2312"/>
          <w:sz w:val="32"/>
          <w:szCs w:val="32"/>
        </w:rPr>
      </w:pPr>
    </w:p>
    <w:p>
      <w:pPr>
        <w:spacing w:line="580" w:lineRule="exact"/>
        <w:jc w:val="center"/>
        <w:rPr>
          <w:rFonts w:hint="eastAsia" w:ascii="仿宋_GB2312" w:hAnsi="仿宋_GB2312" w:eastAsia="仿宋_GB2312" w:cs="仿宋_GB2312"/>
          <w:sz w:val="32"/>
          <w:szCs w:val="32"/>
        </w:rPr>
      </w:pPr>
      <w:r>
        <w:rPr>
          <w:rFonts w:hint="eastAsia" w:ascii="黑体" w:hAnsi="黑体" w:eastAsia="黑体" w:cs="黑体"/>
          <w:sz w:val="20"/>
          <w:szCs w:val="20"/>
        </w:rPr>
        <w:t>图4标牌外显示联合国编号的标牌图例</w:t>
      </w:r>
    </w:p>
    <w:p>
      <w:pPr>
        <w:spacing w:line="560" w:lineRule="exact"/>
        <w:ind w:firstLine="640" w:firstLineChars="200"/>
        <w:rPr>
          <w:rFonts w:hint="eastAsia" w:ascii="仿宋_GB2312" w:hAnsi="仿宋_GB2312" w:eastAsia="仿宋_GB2312" w:cs="仿宋_GB2312"/>
          <w:sz w:val="32"/>
          <w:szCs w:val="32"/>
        </w:rPr>
      </w:pPr>
      <w:r>
        <w:rPr>
          <w:sz w:val="32"/>
          <w:szCs w:val="32"/>
        </w:rPr>
        <w:drawing>
          <wp:anchor distT="0" distB="0" distL="114300" distR="114300" simplePos="0" relativeHeight="251679744" behindDoc="0" locked="0" layoutInCell="1" allowOverlap="1">
            <wp:simplePos x="0" y="0"/>
            <wp:positionH relativeFrom="column">
              <wp:posOffset>492760</wp:posOffset>
            </wp:positionH>
            <wp:positionV relativeFrom="paragraph">
              <wp:posOffset>2460625</wp:posOffset>
            </wp:positionV>
            <wp:extent cx="4319270" cy="2054225"/>
            <wp:effectExtent l="0" t="0" r="24130" b="3175"/>
            <wp:wrapTopAndBottom/>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pic:cNvPicPr>
                      <a:picLocks noChangeAspect="1"/>
                    </pic:cNvPicPr>
                  </pic:nvPicPr>
                  <pic:blipFill>
                    <a:blip r:embed="rId21"/>
                    <a:stretch>
                      <a:fillRect/>
                    </a:stretch>
                  </pic:blipFill>
                  <pic:spPr>
                    <a:xfrm>
                      <a:off x="0" y="0"/>
                      <a:ext cx="4319270" cy="2054225"/>
                    </a:xfrm>
                    <a:prstGeom prst="rect">
                      <a:avLst/>
                    </a:prstGeom>
                    <a:noFill/>
                    <a:ln>
                      <a:noFill/>
                    </a:ln>
                  </pic:spPr>
                </pic:pic>
              </a:graphicData>
            </a:graphic>
          </wp:anchor>
        </w:drawing>
      </w:r>
      <w:r>
        <w:rPr>
          <w:rFonts w:hint="eastAsia" w:ascii="仿宋_GB2312" w:hAnsi="仿宋_GB2312" w:eastAsia="仿宋_GB2312" w:cs="仿宋_GB2312"/>
          <w:sz w:val="32"/>
          <w:szCs w:val="32"/>
        </w:rPr>
        <w:t>2.3标牌及相应的联合国编号应正确张贴于货物运输组件四周的两个侧面和两个端面尽量中间的位置。（图5）</w:t>
      </w:r>
    </w:p>
    <w:p>
      <w:pPr>
        <w:spacing w:line="580" w:lineRule="exact"/>
        <w:jc w:val="center"/>
        <w:rPr>
          <w:rFonts w:hint="eastAsia" w:ascii="仿宋_GB2312" w:hAnsi="仿宋_GB2312" w:eastAsia="仿宋_GB2312" w:cs="仿宋_GB2312"/>
          <w:sz w:val="32"/>
          <w:szCs w:val="32"/>
        </w:rPr>
      </w:pPr>
      <w:r>
        <w:rPr>
          <w:rFonts w:hint="eastAsia" w:ascii="黑体" w:hAnsi="黑体" w:eastAsia="黑体" w:cs="黑体"/>
          <w:position w:val="-43"/>
          <w:sz w:val="20"/>
          <w:szCs w:val="20"/>
        </w:rPr>
        <w:drawing>
          <wp:anchor distT="0" distB="0" distL="0" distR="0" simplePos="0" relativeHeight="251680768" behindDoc="0" locked="0" layoutInCell="1" allowOverlap="1">
            <wp:simplePos x="0" y="0"/>
            <wp:positionH relativeFrom="column">
              <wp:posOffset>1119505</wp:posOffset>
            </wp:positionH>
            <wp:positionV relativeFrom="paragraph">
              <wp:posOffset>-803910</wp:posOffset>
            </wp:positionV>
            <wp:extent cx="3294380" cy="1368425"/>
            <wp:effectExtent l="0" t="0" r="7620" b="3175"/>
            <wp:wrapTopAndBottom/>
            <wp:docPr id="166" name="IM 62"/>
            <wp:cNvGraphicFramePr/>
            <a:graphic xmlns:a="http://schemas.openxmlformats.org/drawingml/2006/main">
              <a:graphicData uri="http://schemas.openxmlformats.org/drawingml/2006/picture">
                <pic:pic xmlns:pic="http://schemas.openxmlformats.org/drawingml/2006/picture">
                  <pic:nvPicPr>
                    <pic:cNvPr id="166" name="IM 62"/>
                    <pic:cNvPicPr/>
                  </pic:nvPicPr>
                  <pic:blipFill>
                    <a:blip r:embed="rId22"/>
                    <a:stretch>
                      <a:fillRect/>
                    </a:stretch>
                  </pic:blipFill>
                  <pic:spPr>
                    <a:xfrm>
                      <a:off x="0" y="0"/>
                      <a:ext cx="3294888" cy="1368551"/>
                    </a:xfrm>
                    <a:prstGeom prst="rect">
                      <a:avLst/>
                    </a:prstGeom>
                  </pic:spPr>
                </pic:pic>
              </a:graphicData>
            </a:graphic>
          </wp:anchor>
        </w:drawing>
      </w:r>
      <w:r>
        <w:rPr>
          <w:rFonts w:hint="eastAsia" w:ascii="黑体" w:hAnsi="黑体" w:eastAsia="黑体" w:cs="黑体"/>
          <w:sz w:val="20"/>
          <w:szCs w:val="20"/>
        </w:rPr>
        <w:t>图5</w:t>
      </w:r>
      <w:r>
        <w:rPr>
          <w:rFonts w:hint="eastAsia" w:ascii="黑体" w:hAnsi="黑体" w:eastAsia="黑体" w:cs="黑体"/>
          <w:spacing w:val="-3"/>
          <w:sz w:val="20"/>
          <w:szCs w:val="20"/>
        </w:rPr>
        <w:t>标牌正确张贴位置图例</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3.标记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包装须具有UN检验标记，表明带有该标记的包装符合检验合格的设计类型，且符合《国际海运危险货物规则》对包装制造的规定，并符合相关性能试验要求。标记须持久、清晰并且其位置和规格相对于包装易于看到，如果包装上出现多个标记，所有标记须彼此靠近，且每个标记须完整显示。对于总重超过30kg的包件，其标记或复制标记须显示于包装的顶部或一侧。字母、数字和符号须不小于12mm高，但容积≤30L或装载量≤30kg的包装除外，其标记至少为6mm高。对于容积≤5L或装载量≤5kg的包装，其标记须为相应的尺寸。（图6）</w:t>
      </w:r>
    </w:p>
    <w:p>
      <w:pPr>
        <w:spacing w:line="580" w:lineRule="exact"/>
        <w:jc w:val="center"/>
        <w:rPr>
          <w:rFonts w:hint="eastAsia" w:ascii="黑体" w:hAnsi="黑体" w:eastAsia="黑体" w:cs="黑体"/>
          <w:sz w:val="20"/>
          <w:szCs w:val="20"/>
        </w:rPr>
      </w:pPr>
      <w:r>
        <w:rPr>
          <w:rFonts w:hint="eastAsia" w:ascii="黑体" w:hAnsi="黑体" w:eastAsia="黑体" w:cs="黑体"/>
          <w:position w:val="-21"/>
          <w:sz w:val="20"/>
          <w:szCs w:val="20"/>
        </w:rPr>
        <w:drawing>
          <wp:anchor distT="0" distB="0" distL="0" distR="0" simplePos="0" relativeHeight="251681792" behindDoc="0" locked="0" layoutInCell="1" allowOverlap="1">
            <wp:simplePos x="0" y="0"/>
            <wp:positionH relativeFrom="column">
              <wp:posOffset>1610995</wp:posOffset>
            </wp:positionH>
            <wp:positionV relativeFrom="paragraph">
              <wp:posOffset>114935</wp:posOffset>
            </wp:positionV>
            <wp:extent cx="2116455" cy="680720"/>
            <wp:effectExtent l="0" t="0" r="17145" b="5080"/>
            <wp:wrapTopAndBottom/>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3"/>
                    <a:stretch>
                      <a:fillRect/>
                    </a:stretch>
                  </pic:blipFill>
                  <pic:spPr>
                    <a:xfrm>
                      <a:off x="0" y="0"/>
                      <a:ext cx="2116835" cy="681227"/>
                    </a:xfrm>
                    <a:prstGeom prst="rect">
                      <a:avLst/>
                    </a:prstGeom>
                  </pic:spPr>
                </pic:pic>
              </a:graphicData>
            </a:graphic>
          </wp:anchor>
        </w:drawing>
      </w:r>
      <w:r>
        <w:rPr>
          <w:rFonts w:hint="eastAsia" w:ascii="黑体" w:hAnsi="黑体" w:eastAsia="黑体" w:cs="黑体"/>
          <w:sz w:val="20"/>
          <w:szCs w:val="20"/>
        </w:rPr>
        <w:t>图6标记图例</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3.2包件须正确显示“正确运输名称标记，UN+编号”其中“UN+编号”高度至少为12mm高，如：锂金属电池组（包括锂合金电池组），UN3090或LITHIUMMETALBATTERIES（including lithiumalloybatteries）,UN3090。</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容积30升及以下或最大净重30公斤及以下的包件，UN3090的高度须至少6mm。</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对于上述要求中的所有包件标记：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（1）须清晰可见且易识别；</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（2）须做到在海水中浸泡3个月以上标记内容仍清晰可辩。在考虑适当的标记方法时，还须考虑所用包装材料及包件表面的耐久性；</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（3）须和包件外表面的背景形成鲜明的颜色对比；和</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（4）不得与可能大大降低其效果的其他包件标志放在一起。</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（5）容量超过450升的中型散装容器和大宗包装须在相对的两侧做标记。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3.3使用中型散装容器的，允许的最大堆码重量须采用下</w:t>
      </w:r>
      <w:r>
        <w:rPr>
          <w:sz w:val="32"/>
          <w:szCs w:val="32"/>
        </w:rPr>
        <w:drawing>
          <wp:anchor distT="0" distB="0" distL="114300" distR="114300" simplePos="0" relativeHeight="251682816" behindDoc="0" locked="0" layoutInCell="1" allowOverlap="1">
            <wp:simplePos x="0" y="0"/>
            <wp:positionH relativeFrom="column">
              <wp:posOffset>278765</wp:posOffset>
            </wp:positionH>
            <wp:positionV relativeFrom="paragraph">
              <wp:posOffset>483235</wp:posOffset>
            </wp:positionV>
            <wp:extent cx="4867275" cy="2381250"/>
            <wp:effectExtent l="0" t="0" r="9525" b="6350"/>
            <wp:wrapTopAndBottom/>
            <wp:docPr id="1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
                    <pic:cNvPicPr>
                      <a:picLocks noChangeAspect="1"/>
                    </pic:cNvPicPr>
                  </pic:nvPicPr>
                  <pic:blipFill>
                    <a:blip r:embed="rId24"/>
                    <a:stretch>
                      <a:fillRect/>
                    </a:stretch>
                  </pic:blipFill>
                  <pic:spPr>
                    <a:xfrm>
                      <a:off x="0" y="0"/>
                      <a:ext cx="4867275" cy="2381250"/>
                    </a:xfrm>
                    <a:prstGeom prst="rect">
                      <a:avLst/>
                    </a:prstGeom>
                    <a:noFill/>
                    <a:ln>
                      <a:noFill/>
                    </a:ln>
                  </pic:spPr>
                </pic:pic>
              </a:graphicData>
            </a:graphic>
          </wp:anchor>
        </w:drawing>
      </w:r>
      <w:r>
        <w:rPr>
          <w:rFonts w:hint="eastAsia" w:ascii="仿宋_GB2312" w:hAnsi="仿宋_GB2312" w:eastAsia="仿宋_GB2312" w:cs="仿宋_GB2312"/>
          <w:sz w:val="32"/>
          <w:szCs w:val="32"/>
        </w:rPr>
        <w:t>图中的符号进行显示。符号须经久和清晰可</w:t>
      </w:r>
      <w:r>
        <w:rPr>
          <w:rFonts w:hint="eastAsia" w:ascii="仿宋_GB2312" w:hAnsi="仿宋_GB2312" w:eastAsia="仿宋_GB2312" w:cs="仿宋_GB2312"/>
          <w:sz w:val="32"/>
          <w:szCs w:val="32"/>
          <w:lang w:eastAsia="zh-CN"/>
        </w:rPr>
        <w:t>辩</w:t>
      </w:r>
      <w:r>
        <w:rPr>
          <w:rFonts w:hint="eastAsia" w:ascii="仿宋_GB2312" w:hAnsi="仿宋_GB2312" w:eastAsia="仿宋_GB2312" w:cs="仿宋_GB2312"/>
          <w:sz w:val="32"/>
          <w:szCs w:val="32"/>
        </w:rPr>
        <w:t>。（图7）</w:t>
      </w:r>
    </w:p>
    <w:p>
      <w:pPr>
        <w:spacing w:line="580" w:lineRule="exact"/>
        <w:jc w:val="center"/>
        <w:rPr>
          <w:rFonts w:hint="eastAsia" w:ascii="黑体" w:hAnsi="黑体" w:eastAsia="黑体" w:cs="黑体"/>
          <w:sz w:val="20"/>
          <w:szCs w:val="20"/>
        </w:rPr>
      </w:pPr>
      <w:r>
        <w:rPr>
          <w:rFonts w:hint="eastAsia" w:ascii="黑体" w:hAnsi="黑体" w:eastAsia="黑体" w:cs="黑体"/>
          <w:sz w:val="20"/>
          <w:szCs w:val="20"/>
        </w:rPr>
        <w:t>图7可堆码的大宗包装标记图例和不可堆码的大宗包装标记图例</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3.4包装上须正确显示UN检验标记，且与申报提交的检验报告一致。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3.5当以集合包件进行运输的，集合包件</w:t>
      </w:r>
      <w:bookmarkStart w:id="3" w:name="_GoBack"/>
      <w:bookmarkEnd w:id="3"/>
      <w:r>
        <w:rPr>
          <w:rFonts w:hint="eastAsia" w:ascii="仿宋_GB2312" w:hAnsi="仿宋_GB2312" w:eastAsia="仿宋_GB2312" w:cs="仿宋_GB2312"/>
          <w:sz w:val="32"/>
          <w:szCs w:val="32"/>
        </w:rPr>
        <w:t>上同时须张贴“集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合包件”（OVERPACK）字样，且标记文字高度须至少12mm。</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3.6符合SP188的锂电池的标记详见附件Ⅳ。</w:t>
      </w:r>
    </w:p>
    <w:p>
      <w:pPr>
        <w:spacing w:line="580" w:lineRule="exact"/>
        <w:ind w:firstLine="640" w:firstLineChars="200"/>
        <w:rPr>
          <w:rFonts w:hint="eastAsia" w:ascii="仿宋_GB2312" w:hAnsi="仿宋_GB2312" w:eastAsia="仿宋_GB2312" w:cs="仿宋_GB2312"/>
          <w:sz w:val="32"/>
          <w:szCs w:val="32"/>
        </w:rPr>
        <w:sectPr>
          <w:footerReference r:id="rId6" w:type="default"/>
          <w:pgSz w:w="11906" w:h="16838"/>
          <w:pgMar w:top="1440" w:right="1800" w:bottom="1440" w:left="1800" w:header="851" w:footer="992" w:gutter="0"/>
          <w:pgNumType w:fmt="decimal"/>
          <w:cols w:space="425" w:num="1"/>
          <w:docGrid w:type="lines" w:linePitch="312" w:charSpace="0"/>
        </w:sectPr>
      </w:pPr>
    </w:p>
    <w:p>
      <w:pPr>
        <w:rPr>
          <w:rFonts w:hint="eastAsia" w:ascii="方正仿宋_GB2312" w:hAnsi="方正仿宋_GB2312" w:eastAsia="方正仿宋_GB2312" w:cs="方正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附件IV:</w:t>
      </w:r>
    </w:p>
    <w:p>
      <w:pPr>
        <w:jc w:val="center"/>
        <w:rPr>
          <w:rFonts w:hint="eastAsia" w:ascii="黑体" w:hAnsi="黑体" w:eastAsia="黑体" w:cs="黑体"/>
          <w:sz w:val="32"/>
          <w:szCs w:val="32"/>
        </w:rPr>
      </w:pPr>
      <w:r>
        <w:rPr>
          <w:rFonts w:hint="eastAsia" w:ascii="黑体" w:hAnsi="黑体" w:eastAsia="黑体" w:cs="黑体"/>
          <w:sz w:val="32"/>
          <w:szCs w:val="32"/>
        </w:rPr>
        <w:t>特殊规定SP188介绍</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交付运输的电池和电池组如满足下列条件，不适用《国际海运危险货物规则》的其他规定：</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1.对于锂金属或锂合金电池，锂含量不超过1g；对于锂离子电池，瓦特--小时比率不超过20Wh；</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对于锂金属或锂合金电池组，锂含量总和不超过2g；对于锂离子电池组，瓦特--小时比率不超过100Wh。适用本规定的锂离子电池须在容器外标明其瓦特--小时比率。2009年1月1日前生产的除外；根据SP348要求，2011年12月31日后生产的蓄电池，还须在外部标记瓦特-小时比率。</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符合每个包件须粘贴符合规定要求的锂电池标记（如图12），标记应为带有阴影轮廓线的矩形，矩形的最小尺寸为100mm（宽）×100mm（高），阴影轮廓线的宽度至少为5mm，颜色为红色。图案为白底黑色的一组电池示意图，其中一个为损坏的电池且喷出火焰。图案上“*”位置显示UN编号，当包件内含有UN编号不相同的锂电池时，所有适用的UN编号都应标明。如果包件尺寸有限制，则最小尺寸可为100mm（宽）×70mm（高）。</w:t>
      </w:r>
    </w:p>
    <w:p>
      <w:pPr>
        <w:spacing w:line="560" w:lineRule="exact"/>
        <w:ind w:firstLine="640" w:firstLineChars="200"/>
        <w:rPr>
          <w:rFonts w:hint="eastAsia" w:ascii="方正仿宋_GB2312" w:hAnsi="方正仿宋_GB2312" w:eastAsia="方正仿宋_GB2312" w:cs="方正仿宋_GB2312"/>
          <w:sz w:val="32"/>
          <w:szCs w:val="32"/>
        </w:rPr>
      </w:pPr>
      <w:r>
        <w:rPr>
          <w:rFonts w:hint="eastAsia" w:ascii="仿宋_GB2312" w:hAnsi="仿宋_GB2312" w:eastAsia="仿宋_GB2312" w:cs="仿宋_GB2312"/>
          <w:sz w:val="32"/>
          <w:szCs w:val="32"/>
        </w:rPr>
        <w:t>旧版的锂电池标记可继续使用到2026年12月31日。</w:t>
      </w:r>
    </w:p>
    <w:p>
      <w:pPr>
        <w:jc w:val="center"/>
        <w:rPr>
          <w:rFonts w:hint="eastAsia"/>
        </w:rPr>
      </w:pPr>
      <w:r>
        <w:drawing>
          <wp:inline distT="0" distB="0" distL="0" distR="0">
            <wp:extent cx="4404360" cy="3555365"/>
            <wp:effectExtent l="0" t="0" r="15240" b="635"/>
            <wp:docPr id="7508004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00491"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04360" cy="3555365"/>
                    </a:xfrm>
                    <a:prstGeom prst="rect">
                      <a:avLst/>
                    </a:prstGeom>
                    <a:noFill/>
                    <a:ln>
                      <a:noFill/>
                    </a:ln>
                  </pic:spPr>
                </pic:pic>
              </a:graphicData>
            </a:graphic>
          </wp:inline>
        </w:drawing>
      </w:r>
    </w:p>
    <w:p>
      <w:pPr>
        <w:pStyle w:val="4"/>
        <w:jc w:val="center"/>
        <w:rPr>
          <w:rFonts w:hint="eastAsia" w:ascii="方正仿宋_GB2312" w:hAnsi="方正仿宋_GB2312" w:eastAsia="方正仿宋_GB2312" w:cs="方正仿宋_GB2312"/>
          <w:sz w:val="32"/>
          <w:szCs w:val="32"/>
        </w:rPr>
      </w:pPr>
      <w:r>
        <w:t>图</w:t>
      </w:r>
      <w:r>
        <w:fldChar w:fldCharType="begin"/>
      </w:r>
      <w:r>
        <w:instrText xml:space="preserve"> SEQ 图 \* ARABIC </w:instrText>
      </w:r>
      <w:r>
        <w:fldChar w:fldCharType="separate"/>
      </w:r>
      <w:r>
        <w:t>1</w:t>
      </w:r>
      <w:r>
        <w:fldChar w:fldCharType="end"/>
      </w:r>
      <w:r>
        <w:rPr>
          <w:rFonts w:hint="eastAsia"/>
        </w:rPr>
        <w:t>锂电池标记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4.当包件被置于集合包件中，锂电池标记须清晰可见或者在集合包件外部张贴，且集合包件须标记“OVERPACK”字样,字体高度至少为12mm。</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5.除被安装在设备中的电池组外，每个包件须能够承受任何方向1.2m的跌落试验而内装的电池或电池组不发生损坏，不发生内容物移动造成的电池与电池(电池组与电池组)相互接触及内容物泄漏。</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6.除被安装在设备中或与设备包装在一起的电池组外，包件毛重须不超过30kg。“设备”是指锂电池或者锂电池组为其运行提供电力的设备。</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7.标记的豁免：当包件内仅含有安装在设备中的纽扣电池(包括电路板)；当托运货物中不超过两个包件，且每一包件内含有装载设备中的不超过四个离子电池或两个电池组。</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8.货物运输组件无需粘贴标牌、标记。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SP387条款：当锂电池包含一次锂金属电池和可充电锂离子电池，须酌情归入UN3090或3091。当此类电池按照特殊规定SP188条款运输时，电池中所有锂金属电池的总锂含量不得超过1.5g，电池中所有锂离子电池的总容量不得超过10Wh。</w:t>
      </w:r>
    </w:p>
    <w:p>
      <w:pPr>
        <w:rPr>
          <w:rFonts w:hint="eastAsia"/>
        </w:rPr>
      </w:pPr>
      <w:r>
        <w:rPr>
          <w:rFonts w:hint="eastAsia"/>
        </w:rPr>
        <w:br w:type="page"/>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附件V:</w:t>
      </w:r>
    </w:p>
    <w:p>
      <w:pPr>
        <w:jc w:val="center"/>
        <w:rPr>
          <w:rFonts w:hint="eastAsia" w:ascii="黑体" w:hAnsi="黑体" w:eastAsia="黑体" w:cs="黑体"/>
          <w:sz w:val="32"/>
          <w:szCs w:val="32"/>
        </w:rPr>
      </w:pPr>
      <w:r>
        <w:rPr>
          <w:rFonts w:hint="eastAsia" w:ascii="黑体" w:hAnsi="黑体" w:eastAsia="黑体" w:cs="黑体"/>
          <w:sz w:val="32"/>
          <w:szCs w:val="32"/>
        </w:rPr>
        <w:t>UN3536介绍</w:t>
      </w:r>
    </w:p>
    <w:p>
      <w:pPr>
        <w:spacing w:line="56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1.货物释义</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装在货物运输组件内，且仅设计用于向货物运输组件外部提供动力的锂离子电池、锂金属电池或同时包含锂离子电池和含有机电解质的钠离子电池的混合电池，应分类为UN3536。货物运输组件内正常安全操作所必需的危险货物（如灭火系统和空调系统）不必分类。</w:t>
      </w:r>
    </w:p>
    <w:p>
      <w:pPr>
        <w:spacing w:line="56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2.国际公约相关要求</w:t>
      </w:r>
    </w:p>
    <w:p>
      <w:pPr>
        <w:pStyle w:val="4"/>
        <w:jc w:val="center"/>
        <w:rPr>
          <w:rFonts w:eastAsia="宋体"/>
        </w:rPr>
      </w:pPr>
      <w:r>
        <w:t>表</w:t>
      </w:r>
      <w:r>
        <w:rPr>
          <w:rFonts w:hint="eastAsia"/>
        </w:rPr>
        <w:t>1 UN3536的危规要求</w:t>
      </w:r>
    </w:p>
    <w:tbl>
      <w:tblPr>
        <w:tblStyle w:val="19"/>
        <w:tblW w:w="8396"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1370"/>
        <w:gridCol w:w="488"/>
        <w:gridCol w:w="476"/>
        <w:gridCol w:w="625"/>
        <w:gridCol w:w="562"/>
        <w:gridCol w:w="565"/>
        <w:gridCol w:w="675"/>
        <w:gridCol w:w="715"/>
        <w:gridCol w:w="706"/>
        <w:gridCol w:w="17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63" w:hRule="atLeast"/>
          <w:jc w:val="center"/>
        </w:trPr>
        <w:tc>
          <w:tcPr>
            <w:tcW w:w="511" w:type="dxa"/>
            <w:vMerge w:val="restart"/>
            <w:tcBorders>
              <w:bottom w:val="nil"/>
            </w:tcBorders>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联合国编号</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（1）</w:t>
            </w:r>
          </w:p>
        </w:tc>
        <w:tc>
          <w:tcPr>
            <w:tcW w:w="1370" w:type="dxa"/>
            <w:vMerge w:val="restart"/>
            <w:tcBorders>
              <w:bottom w:val="nil"/>
            </w:tcBorders>
            <w:vAlign w:val="center"/>
          </w:tcPr>
          <w:p>
            <w:pPr>
              <w:pStyle w:val="20"/>
              <w:spacing w:before="60" w:line="172" w:lineRule="auto"/>
              <w:jc w:val="center"/>
              <w:rPr>
                <w:rFonts w:hint="eastAsia" w:ascii="宋体" w:hAnsi="宋体" w:eastAsia="宋体" w:cs="宋体"/>
                <w:spacing w:val="-1"/>
                <w:sz w:val="16"/>
                <w:szCs w:val="16"/>
                <w:lang w:eastAsia="zh-CN"/>
              </w:rPr>
            </w:pPr>
            <w:r>
              <w:rPr>
                <w:rFonts w:hint="eastAsia" w:ascii="宋体" w:hAnsi="宋体" w:eastAsia="宋体" w:cs="宋体"/>
                <w:spacing w:val="-1"/>
                <w:sz w:val="16"/>
                <w:szCs w:val="16"/>
                <w:lang w:eastAsia="zh-CN"/>
              </w:rPr>
              <w:t>正确运输中文名称</w:t>
            </w:r>
          </w:p>
          <w:p>
            <w:pPr>
              <w:pStyle w:val="20"/>
              <w:spacing w:before="60" w:line="172" w:lineRule="auto"/>
              <w:jc w:val="center"/>
              <w:rPr>
                <w:rFonts w:hint="eastAsia" w:ascii="宋体" w:hAnsi="宋体" w:eastAsia="宋体" w:cs="宋体"/>
                <w:spacing w:val="-1"/>
                <w:sz w:val="16"/>
                <w:szCs w:val="16"/>
                <w:lang w:eastAsia="zh-CN"/>
              </w:rPr>
            </w:pPr>
            <w:r>
              <w:rPr>
                <w:rFonts w:hint="eastAsia" w:ascii="宋体" w:hAnsi="宋体" w:eastAsia="宋体" w:cs="宋体"/>
                <w:spacing w:val="-1"/>
                <w:sz w:val="16"/>
                <w:szCs w:val="16"/>
                <w:lang w:eastAsia="zh-CN"/>
              </w:rPr>
              <w:t>（2）</w:t>
            </w:r>
          </w:p>
          <w:p>
            <w:pPr>
              <w:pStyle w:val="20"/>
              <w:spacing w:before="60" w:line="172" w:lineRule="auto"/>
              <w:jc w:val="center"/>
              <w:rPr>
                <w:rFonts w:hint="eastAsia" w:ascii="宋体" w:hAnsi="宋体" w:eastAsia="宋体" w:cs="宋体"/>
                <w:spacing w:val="-1"/>
                <w:sz w:val="16"/>
                <w:szCs w:val="16"/>
                <w:lang w:eastAsia="zh-CN"/>
              </w:rPr>
            </w:pPr>
            <w:r>
              <w:rPr>
                <w:rFonts w:hint="eastAsia" w:ascii="宋体" w:hAnsi="宋体" w:eastAsia="宋体" w:cs="宋体"/>
                <w:spacing w:val="-1"/>
                <w:sz w:val="16"/>
                <w:szCs w:val="16"/>
                <w:lang w:eastAsia="zh-CN"/>
              </w:rPr>
              <w:t>3.1.2</w:t>
            </w:r>
          </w:p>
        </w:tc>
        <w:tc>
          <w:tcPr>
            <w:tcW w:w="488" w:type="dxa"/>
            <w:vMerge w:val="restart"/>
            <w:tcBorders>
              <w:bottom w:val="nil"/>
            </w:tcBorders>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类别</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（3）</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2.0</w:t>
            </w:r>
          </w:p>
        </w:tc>
        <w:tc>
          <w:tcPr>
            <w:tcW w:w="476" w:type="dxa"/>
            <w:vMerge w:val="restart"/>
            <w:tcBorders>
              <w:bottom w:val="nil"/>
            </w:tcBorders>
            <w:vAlign w:val="center"/>
          </w:tcPr>
          <w:p>
            <w:pPr>
              <w:pStyle w:val="20"/>
              <w:spacing w:before="60" w:line="172" w:lineRule="auto"/>
              <w:jc w:val="center"/>
              <w:rPr>
                <w:rFonts w:hint="eastAsia" w:ascii="宋体" w:hAnsi="宋体" w:eastAsia="宋体" w:cs="宋体"/>
                <w:spacing w:val="-1"/>
                <w:sz w:val="16"/>
                <w:szCs w:val="16"/>
                <w:lang w:eastAsia="zh-CN"/>
              </w:rPr>
            </w:pPr>
            <w:r>
              <w:rPr>
                <w:rFonts w:hint="eastAsia" w:ascii="宋体" w:hAnsi="宋体" w:eastAsia="宋体" w:cs="宋体"/>
                <w:spacing w:val="-1"/>
                <w:sz w:val="16"/>
                <w:szCs w:val="16"/>
              </w:rPr>
              <w:t>副</w:t>
            </w:r>
            <w:r>
              <w:rPr>
                <w:rFonts w:hint="eastAsia" w:ascii="宋体" w:hAnsi="宋体" w:eastAsia="宋体" w:cs="宋体"/>
                <w:spacing w:val="-1"/>
                <w:sz w:val="16"/>
                <w:szCs w:val="16"/>
                <w:lang w:eastAsia="zh-CN"/>
              </w:rPr>
              <w:t>危险</w:t>
            </w:r>
          </w:p>
          <w:p>
            <w:pPr>
              <w:pStyle w:val="20"/>
              <w:spacing w:before="60" w:line="172" w:lineRule="auto"/>
              <w:jc w:val="center"/>
              <w:rPr>
                <w:rFonts w:hint="eastAsia" w:ascii="宋体" w:hAnsi="宋体" w:eastAsia="宋体" w:cs="宋体"/>
                <w:spacing w:val="-1"/>
                <w:sz w:val="16"/>
                <w:szCs w:val="16"/>
                <w:lang w:eastAsia="zh-CN"/>
              </w:rPr>
            </w:pPr>
            <w:r>
              <w:rPr>
                <w:rFonts w:hint="eastAsia" w:ascii="宋体" w:hAnsi="宋体" w:eastAsia="宋体" w:cs="宋体"/>
                <w:spacing w:val="-1"/>
                <w:sz w:val="16"/>
                <w:szCs w:val="16"/>
                <w:lang w:eastAsia="zh-CN"/>
              </w:rPr>
              <w:t>（4）</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2.0</w:t>
            </w:r>
          </w:p>
        </w:tc>
        <w:tc>
          <w:tcPr>
            <w:tcW w:w="625" w:type="dxa"/>
            <w:vMerge w:val="restart"/>
            <w:tcBorders>
              <w:bottom w:val="nil"/>
            </w:tcBorders>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包装类</w:t>
            </w:r>
          </w:p>
          <w:p>
            <w:pPr>
              <w:pStyle w:val="20"/>
              <w:spacing w:before="60" w:line="172" w:lineRule="auto"/>
              <w:jc w:val="center"/>
              <w:rPr>
                <w:rFonts w:hint="eastAsia" w:ascii="宋体" w:hAnsi="宋体" w:eastAsia="宋体" w:cs="宋体"/>
                <w:spacing w:val="-1"/>
                <w:sz w:val="16"/>
                <w:szCs w:val="16"/>
                <w:lang w:eastAsia="zh-CN"/>
              </w:rPr>
            </w:pPr>
            <w:r>
              <w:rPr>
                <w:rFonts w:hint="eastAsia" w:ascii="宋体" w:hAnsi="宋体" w:eastAsia="宋体" w:cs="宋体"/>
                <w:spacing w:val="-1"/>
                <w:sz w:val="16"/>
                <w:szCs w:val="16"/>
                <w:lang w:eastAsia="zh-CN"/>
              </w:rPr>
              <w:t>（5）</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2.0.1.3</w:t>
            </w:r>
          </w:p>
        </w:tc>
        <w:tc>
          <w:tcPr>
            <w:tcW w:w="562" w:type="dxa"/>
            <w:vMerge w:val="restart"/>
            <w:tcBorders>
              <w:bottom w:val="nil"/>
            </w:tcBorders>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特殊规定</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（6）</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3.3</w:t>
            </w:r>
          </w:p>
        </w:tc>
        <w:tc>
          <w:tcPr>
            <w:tcW w:w="565" w:type="dxa"/>
            <w:vMerge w:val="restart"/>
            <w:tcBorders>
              <w:bottom w:val="nil"/>
            </w:tcBorders>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限量</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（7a）</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3.4</w:t>
            </w:r>
          </w:p>
        </w:tc>
        <w:tc>
          <w:tcPr>
            <w:tcW w:w="675" w:type="dxa"/>
            <w:vMerge w:val="restart"/>
            <w:tcBorders>
              <w:bottom w:val="nil"/>
            </w:tcBorders>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可免除量</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（7b）</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3.5</w:t>
            </w:r>
          </w:p>
        </w:tc>
        <w:tc>
          <w:tcPr>
            <w:tcW w:w="1421" w:type="dxa"/>
            <w:gridSpan w:val="2"/>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包装</w:t>
            </w:r>
          </w:p>
        </w:tc>
        <w:tc>
          <w:tcPr>
            <w:tcW w:w="1703" w:type="dxa"/>
            <w:vMerge w:val="restart"/>
            <w:tcBorders>
              <w:bottom w:val="nil"/>
            </w:tcBorders>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特性与注意事项</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81" w:hRule="atLeast"/>
          <w:jc w:val="center"/>
        </w:trPr>
        <w:tc>
          <w:tcPr>
            <w:tcW w:w="511" w:type="dxa"/>
            <w:vMerge w:val="continue"/>
            <w:tcBorders>
              <w:top w:val="nil"/>
            </w:tcBorders>
            <w:vAlign w:val="center"/>
          </w:tcPr>
          <w:p>
            <w:pPr>
              <w:pStyle w:val="20"/>
              <w:spacing w:before="60" w:line="172" w:lineRule="auto"/>
              <w:jc w:val="center"/>
              <w:rPr>
                <w:rFonts w:hint="eastAsia" w:ascii="宋体" w:hAnsi="宋体" w:eastAsia="宋体" w:cs="宋体"/>
                <w:spacing w:val="-1"/>
                <w:sz w:val="16"/>
                <w:szCs w:val="16"/>
              </w:rPr>
            </w:pPr>
          </w:p>
        </w:tc>
        <w:tc>
          <w:tcPr>
            <w:tcW w:w="1370" w:type="dxa"/>
            <w:vMerge w:val="continue"/>
            <w:tcBorders>
              <w:top w:val="nil"/>
            </w:tcBorders>
            <w:vAlign w:val="center"/>
          </w:tcPr>
          <w:p>
            <w:pPr>
              <w:pStyle w:val="20"/>
              <w:spacing w:before="60" w:line="172" w:lineRule="auto"/>
              <w:jc w:val="center"/>
              <w:rPr>
                <w:rFonts w:hint="eastAsia" w:ascii="宋体" w:hAnsi="宋体" w:eastAsia="宋体" w:cs="宋体"/>
                <w:spacing w:val="-1"/>
                <w:sz w:val="16"/>
                <w:szCs w:val="16"/>
              </w:rPr>
            </w:pPr>
          </w:p>
        </w:tc>
        <w:tc>
          <w:tcPr>
            <w:tcW w:w="488" w:type="dxa"/>
            <w:vMerge w:val="continue"/>
            <w:tcBorders>
              <w:top w:val="nil"/>
            </w:tcBorders>
            <w:vAlign w:val="center"/>
          </w:tcPr>
          <w:p>
            <w:pPr>
              <w:pStyle w:val="20"/>
              <w:spacing w:before="60" w:line="172" w:lineRule="auto"/>
              <w:jc w:val="center"/>
              <w:rPr>
                <w:rFonts w:hint="eastAsia" w:ascii="宋体" w:hAnsi="宋体" w:eastAsia="宋体" w:cs="宋体"/>
                <w:spacing w:val="-1"/>
                <w:sz w:val="16"/>
                <w:szCs w:val="16"/>
              </w:rPr>
            </w:pPr>
          </w:p>
        </w:tc>
        <w:tc>
          <w:tcPr>
            <w:tcW w:w="476" w:type="dxa"/>
            <w:vMerge w:val="continue"/>
            <w:tcBorders>
              <w:top w:val="nil"/>
            </w:tcBorders>
            <w:vAlign w:val="center"/>
          </w:tcPr>
          <w:p>
            <w:pPr>
              <w:pStyle w:val="20"/>
              <w:spacing w:before="60" w:line="172" w:lineRule="auto"/>
              <w:jc w:val="center"/>
              <w:rPr>
                <w:rFonts w:hint="eastAsia" w:ascii="宋体" w:hAnsi="宋体" w:eastAsia="宋体" w:cs="宋体"/>
                <w:spacing w:val="-1"/>
                <w:sz w:val="16"/>
                <w:szCs w:val="16"/>
              </w:rPr>
            </w:pPr>
          </w:p>
        </w:tc>
        <w:tc>
          <w:tcPr>
            <w:tcW w:w="625" w:type="dxa"/>
            <w:vMerge w:val="continue"/>
            <w:tcBorders>
              <w:top w:val="nil"/>
            </w:tcBorders>
            <w:vAlign w:val="center"/>
          </w:tcPr>
          <w:p>
            <w:pPr>
              <w:pStyle w:val="20"/>
              <w:spacing w:before="60" w:line="172" w:lineRule="auto"/>
              <w:jc w:val="center"/>
              <w:rPr>
                <w:rFonts w:hint="eastAsia" w:ascii="宋体" w:hAnsi="宋体" w:eastAsia="宋体" w:cs="宋体"/>
                <w:spacing w:val="-1"/>
                <w:sz w:val="16"/>
                <w:szCs w:val="16"/>
              </w:rPr>
            </w:pPr>
          </w:p>
        </w:tc>
        <w:tc>
          <w:tcPr>
            <w:tcW w:w="562" w:type="dxa"/>
            <w:vMerge w:val="continue"/>
            <w:tcBorders>
              <w:top w:val="nil"/>
            </w:tcBorders>
            <w:vAlign w:val="center"/>
          </w:tcPr>
          <w:p>
            <w:pPr>
              <w:pStyle w:val="20"/>
              <w:spacing w:before="60" w:line="172" w:lineRule="auto"/>
              <w:jc w:val="center"/>
              <w:rPr>
                <w:rFonts w:hint="eastAsia" w:ascii="宋体" w:hAnsi="宋体" w:eastAsia="宋体" w:cs="宋体"/>
                <w:spacing w:val="-1"/>
                <w:sz w:val="16"/>
                <w:szCs w:val="16"/>
              </w:rPr>
            </w:pPr>
          </w:p>
        </w:tc>
        <w:tc>
          <w:tcPr>
            <w:tcW w:w="565" w:type="dxa"/>
            <w:vMerge w:val="continue"/>
            <w:tcBorders>
              <w:top w:val="nil"/>
            </w:tcBorders>
            <w:vAlign w:val="center"/>
          </w:tcPr>
          <w:p>
            <w:pPr>
              <w:pStyle w:val="20"/>
              <w:spacing w:before="60" w:line="172" w:lineRule="auto"/>
              <w:jc w:val="center"/>
              <w:rPr>
                <w:rFonts w:hint="eastAsia" w:ascii="宋体" w:hAnsi="宋体" w:eastAsia="宋体" w:cs="宋体"/>
                <w:spacing w:val="-1"/>
                <w:sz w:val="16"/>
                <w:szCs w:val="16"/>
              </w:rPr>
            </w:pPr>
          </w:p>
        </w:tc>
        <w:tc>
          <w:tcPr>
            <w:tcW w:w="675" w:type="dxa"/>
            <w:vMerge w:val="continue"/>
            <w:tcBorders>
              <w:top w:val="nil"/>
            </w:tcBorders>
            <w:vAlign w:val="center"/>
          </w:tcPr>
          <w:p>
            <w:pPr>
              <w:pStyle w:val="20"/>
              <w:spacing w:before="60" w:line="172" w:lineRule="auto"/>
              <w:jc w:val="center"/>
              <w:rPr>
                <w:rFonts w:hint="eastAsia" w:ascii="宋体" w:hAnsi="宋体" w:eastAsia="宋体" w:cs="宋体"/>
                <w:spacing w:val="-1"/>
                <w:sz w:val="16"/>
                <w:szCs w:val="16"/>
              </w:rPr>
            </w:pPr>
          </w:p>
        </w:tc>
        <w:tc>
          <w:tcPr>
            <w:tcW w:w="715" w:type="dxa"/>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导则</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（8）</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4.1.4</w:t>
            </w:r>
          </w:p>
        </w:tc>
        <w:tc>
          <w:tcPr>
            <w:tcW w:w="706" w:type="dxa"/>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规定</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（9）</w:t>
            </w:r>
          </w:p>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4.1.4</w:t>
            </w:r>
          </w:p>
        </w:tc>
        <w:tc>
          <w:tcPr>
            <w:tcW w:w="1703" w:type="dxa"/>
            <w:vMerge w:val="continue"/>
            <w:tcBorders>
              <w:top w:val="nil"/>
            </w:tcBorders>
            <w:vAlign w:val="center"/>
          </w:tcPr>
          <w:p>
            <w:pPr>
              <w:pStyle w:val="20"/>
              <w:spacing w:before="60" w:line="172" w:lineRule="auto"/>
              <w:jc w:val="center"/>
              <w:rPr>
                <w:rFonts w:hint="eastAsia" w:ascii="宋体" w:hAnsi="宋体" w:eastAsia="宋体" w:cs="宋体"/>
                <w:spacing w:val="-1"/>
                <w:sz w:val="16"/>
                <w:szCs w:val="16"/>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95" w:hRule="atLeast"/>
          <w:jc w:val="center"/>
        </w:trPr>
        <w:tc>
          <w:tcPr>
            <w:tcW w:w="511" w:type="dxa"/>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3536</w:t>
            </w:r>
          </w:p>
        </w:tc>
        <w:tc>
          <w:tcPr>
            <w:tcW w:w="1370" w:type="dxa"/>
            <w:vAlign w:val="center"/>
          </w:tcPr>
          <w:p>
            <w:pPr>
              <w:pStyle w:val="20"/>
              <w:spacing w:before="60" w:line="172" w:lineRule="auto"/>
              <w:jc w:val="center"/>
              <w:rPr>
                <w:rFonts w:hint="eastAsia" w:ascii="宋体" w:hAnsi="宋体" w:eastAsia="宋体" w:cs="宋体"/>
                <w:spacing w:val="-1"/>
                <w:sz w:val="16"/>
                <w:szCs w:val="16"/>
                <w:lang w:eastAsia="zh-CN"/>
              </w:rPr>
            </w:pPr>
            <w:r>
              <w:rPr>
                <w:rFonts w:hint="eastAsia" w:ascii="宋体" w:hAnsi="宋体" w:eastAsia="宋体" w:cs="宋体"/>
                <w:spacing w:val="-1"/>
                <w:sz w:val="16"/>
                <w:szCs w:val="16"/>
                <w:lang w:eastAsia="zh-CN"/>
              </w:rPr>
              <w:t>安装在货物运输组件中的锂电池组，锂离子电池组或锂金属电池组</w:t>
            </w:r>
          </w:p>
        </w:tc>
        <w:tc>
          <w:tcPr>
            <w:tcW w:w="488" w:type="dxa"/>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9</w:t>
            </w:r>
          </w:p>
        </w:tc>
        <w:tc>
          <w:tcPr>
            <w:tcW w:w="476" w:type="dxa"/>
            <w:vAlign w:val="center"/>
          </w:tcPr>
          <w:p>
            <w:pPr>
              <w:pStyle w:val="20"/>
              <w:spacing w:before="60" w:line="172" w:lineRule="auto"/>
              <w:jc w:val="center"/>
              <w:rPr>
                <w:rFonts w:hint="eastAsia" w:ascii="宋体" w:hAnsi="宋体" w:eastAsia="宋体" w:cs="宋体"/>
                <w:spacing w:val="-1"/>
                <w:sz w:val="16"/>
                <w:szCs w:val="16"/>
              </w:rPr>
            </w:pPr>
          </w:p>
        </w:tc>
        <w:tc>
          <w:tcPr>
            <w:tcW w:w="625" w:type="dxa"/>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w:t>
            </w:r>
          </w:p>
        </w:tc>
        <w:tc>
          <w:tcPr>
            <w:tcW w:w="562" w:type="dxa"/>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389</w:t>
            </w:r>
          </w:p>
        </w:tc>
        <w:tc>
          <w:tcPr>
            <w:tcW w:w="565" w:type="dxa"/>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0</w:t>
            </w:r>
          </w:p>
        </w:tc>
        <w:tc>
          <w:tcPr>
            <w:tcW w:w="675" w:type="dxa"/>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E0</w:t>
            </w:r>
          </w:p>
        </w:tc>
        <w:tc>
          <w:tcPr>
            <w:tcW w:w="715" w:type="dxa"/>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w:t>
            </w:r>
          </w:p>
        </w:tc>
        <w:tc>
          <w:tcPr>
            <w:tcW w:w="706" w:type="dxa"/>
            <w:vAlign w:val="center"/>
          </w:tcPr>
          <w:p>
            <w:pPr>
              <w:pStyle w:val="20"/>
              <w:spacing w:before="60" w:line="172" w:lineRule="auto"/>
              <w:jc w:val="center"/>
              <w:rPr>
                <w:rFonts w:hint="eastAsia" w:ascii="宋体" w:hAnsi="宋体" w:eastAsia="宋体" w:cs="宋体"/>
                <w:spacing w:val="-1"/>
                <w:sz w:val="16"/>
                <w:szCs w:val="16"/>
              </w:rPr>
            </w:pPr>
            <w:r>
              <w:rPr>
                <w:rFonts w:hint="eastAsia" w:ascii="宋体" w:hAnsi="宋体" w:eastAsia="宋体" w:cs="宋体"/>
                <w:spacing w:val="-1"/>
                <w:sz w:val="16"/>
                <w:szCs w:val="16"/>
              </w:rPr>
              <w:t>-</w:t>
            </w:r>
          </w:p>
        </w:tc>
        <w:tc>
          <w:tcPr>
            <w:tcW w:w="1703" w:type="dxa"/>
            <w:vAlign w:val="center"/>
          </w:tcPr>
          <w:p>
            <w:pPr>
              <w:pStyle w:val="20"/>
              <w:spacing w:before="60" w:line="172" w:lineRule="auto"/>
              <w:jc w:val="center"/>
              <w:rPr>
                <w:rFonts w:hint="eastAsia" w:ascii="宋体" w:hAnsi="宋体" w:eastAsia="宋体" w:cs="宋体"/>
                <w:spacing w:val="-1"/>
                <w:sz w:val="16"/>
                <w:szCs w:val="16"/>
                <w:lang w:eastAsia="zh-CN"/>
              </w:rPr>
            </w:pPr>
            <w:r>
              <w:rPr>
                <w:rFonts w:hint="eastAsia" w:ascii="宋体" w:hAnsi="宋体" w:eastAsia="宋体" w:cs="宋体"/>
                <w:spacing w:val="-1"/>
                <w:sz w:val="16"/>
                <w:szCs w:val="16"/>
                <w:lang w:eastAsia="zh-CN"/>
              </w:rPr>
              <w:t>被设计为移动供电装置，含有锂金属或锂离子电池的货物运输组件</w:t>
            </w:r>
          </w:p>
        </w:tc>
      </w:tr>
    </w:tbl>
    <w:p>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注：限量0——不得限量运输</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可免除量E0——不允许作为可免除量</w:t>
      </w:r>
    </w:p>
    <w:p>
      <w:pPr>
        <w:spacing w:line="56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3.检测报告要求</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 UN38.3测试报告</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每个电池或电池组的型号均应符合《实验和标准手册》第三部分第38.3节各项试验的要求。</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3.2货物运输组件检验证书</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UN3536货物运输组件须取得船级社检验合格报告（图2），此类货物运输组件不得超过组件的限制重量。货物运输组件因改装导致结构发生改变，应重新检验。</w:t>
      </w:r>
    </w:p>
    <w:p>
      <w:pPr>
        <w:rPr>
          <w:rFonts w:hint="eastAsia"/>
        </w:rPr>
      </w:pPr>
    </w:p>
    <w:p>
      <w:pPr>
        <w:jc w:val="center"/>
        <w:rPr>
          <w:rFonts w:hint="eastAsia"/>
        </w:rPr>
      </w:pPr>
      <w:r>
        <w:rPr>
          <w:rFonts w:hint="eastAsia"/>
        </w:rPr>
        <w:drawing>
          <wp:inline distT="0" distB="0" distL="114300" distR="114300">
            <wp:extent cx="3721735" cy="5289550"/>
            <wp:effectExtent l="0" t="0" r="12065" b="19050"/>
            <wp:docPr id="4" name="图片 4" descr="213051-213100箱证_page_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3051-213100箱证_page_1_副本"/>
                    <pic:cNvPicPr>
                      <a:picLocks noChangeAspect="1"/>
                    </pic:cNvPicPr>
                  </pic:nvPicPr>
                  <pic:blipFill>
                    <a:blip r:embed="rId26"/>
                    <a:stretch>
                      <a:fillRect/>
                    </a:stretch>
                  </pic:blipFill>
                  <pic:spPr>
                    <a:xfrm>
                      <a:off x="0" y="0"/>
                      <a:ext cx="3721735" cy="5289550"/>
                    </a:xfrm>
                    <a:prstGeom prst="rect">
                      <a:avLst/>
                    </a:prstGeom>
                  </pic:spPr>
                </pic:pic>
              </a:graphicData>
            </a:graphic>
          </wp:inline>
        </w:drawing>
      </w:r>
    </w:p>
    <w:p>
      <w:pPr>
        <w:spacing w:line="580" w:lineRule="exact"/>
        <w:jc w:val="center"/>
        <w:rPr>
          <w:rFonts w:hint="eastAsia" w:ascii="黑体" w:hAnsi="黑体" w:eastAsia="黑体" w:cs="黑体"/>
          <w:sz w:val="20"/>
          <w:szCs w:val="20"/>
        </w:rPr>
      </w:pPr>
      <w:r>
        <w:rPr>
          <w:rFonts w:hint="eastAsia" w:ascii="黑体" w:hAnsi="黑体" w:eastAsia="黑体" w:cs="黑体"/>
          <w:sz w:val="20"/>
          <w:szCs w:val="20"/>
        </w:rPr>
        <w:t>图2集装箱证书图例</w:t>
      </w:r>
    </w:p>
    <w:p>
      <w:pPr>
        <w:spacing w:line="56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4.包装及装箱要求</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4.1包装要求：划分为UN3536的货物无包装要求。</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4.2装箱要求：</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4.2.1整体装箱要求</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根据IMDG特殊规定SP389以及《海运危险货物集装箱装箱安全技术要求（GB40163-2021）》，UN3536装箱要求为：</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①电池组必须须牢固地固定在货物运输组件的内部结构上(例如，通过放置在架子、柜子等处)，以防止短路、意外操作以及在运输过程中通常出现的冲击、负载和振动下相对于货物运输组件的重大移动。</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货物运输组件安全和正常运行所必需的危险货物(如灭火系统和空调系统)，须适当地固定在货物运输组件上，此时，这些危险货物无须遵守《国际海运危险货物规则》其他要求。不得在货物运输组件内运输货物运输组件安全和正常运行所不需要的危险货物。</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4.2.2标志张贴要求</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根据特殊规定SP389:货物运输组件中的电池组不需要遵守标记和标志的规定。</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4.2.3 UN编号显示要求</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集装箱上正确标注联合国编号，以黑色数字表示，数字高度不小于65mm。联合国编号的显示有两种方式：</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①在符号与类别号和配装类号之间的区域，与白色底色形成鲜明对比，并不影响标牌其它要素</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②显示于高不小于120mm，宽不小于300mm，四周带有10mm黑框的桔黄色长方形板上，位置紧靠标牌或海洋污染物标记。（图3）</w:t>
      </w:r>
    </w:p>
    <w:p>
      <w:pPr>
        <w:spacing w:line="580" w:lineRule="exact"/>
        <w:jc w:val="center"/>
        <w:rPr>
          <w:rFonts w:hint="eastAsia" w:ascii="黑体" w:hAnsi="黑体" w:eastAsia="黑体" w:cs="黑体"/>
          <w:sz w:val="20"/>
          <w:szCs w:val="20"/>
        </w:rPr>
      </w:pPr>
      <w:r>
        <w:rPr>
          <w:position w:val="-39"/>
        </w:rPr>
        <w:drawing>
          <wp:anchor distT="0" distB="0" distL="0" distR="0" simplePos="0" relativeHeight="251675648" behindDoc="0" locked="0" layoutInCell="1" allowOverlap="1">
            <wp:simplePos x="0" y="0"/>
            <wp:positionH relativeFrom="column">
              <wp:posOffset>1096645</wp:posOffset>
            </wp:positionH>
            <wp:positionV relativeFrom="paragraph">
              <wp:posOffset>125095</wp:posOffset>
            </wp:positionV>
            <wp:extent cx="3113405" cy="1238885"/>
            <wp:effectExtent l="0" t="0" r="10795" b="5715"/>
            <wp:wrapTopAndBottom/>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7"/>
                    <a:stretch>
                      <a:fillRect/>
                    </a:stretch>
                  </pic:blipFill>
                  <pic:spPr>
                    <a:xfrm>
                      <a:off x="0" y="0"/>
                      <a:ext cx="3113532" cy="1239011"/>
                    </a:xfrm>
                    <a:prstGeom prst="rect">
                      <a:avLst/>
                    </a:prstGeom>
                  </pic:spPr>
                </pic:pic>
              </a:graphicData>
            </a:graphic>
          </wp:anchor>
        </w:drawing>
      </w:r>
      <w:r>
        <w:rPr>
          <w:rFonts w:hint="eastAsia" w:ascii="黑体" w:hAnsi="黑体" w:eastAsia="黑体" w:cs="黑体"/>
          <w:sz w:val="20"/>
          <w:szCs w:val="20"/>
        </w:rPr>
        <w:t>图3联合国编号显示图例</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4.2.4标牌的张贴要求</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集装箱的两个对立面各张贴一个9类危险货物标牌（不得使用9A作为标牌）。标牌须是与水平线呈45°角（菱形）放置的正方形，最小尺寸为250mm×250mm。联合国编号数字高度不小于65mm，底角类别号的高度不小于25mm。</w:t>
      </w:r>
    </w:p>
    <w:p>
      <w:pPr>
        <w:spacing w:line="56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5.注意事项</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集装箱储能系统的电池组以及电池管理系统、电气装置、消防系统、温控系统等所有设备的总质量不应超过集装箱安全合格牌照上标识的允许净载质量；集装箱储能系统组装完成后，组件总质量不应超过集装箱箱体上标注的最大营运总质量。</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5.2集装箱箱体设计、制造、检验、试验等均应符合《1972年国际集装箱安全公约》、《国际海运危险货物规则》、《集装箱法定检验技术规则》的规定，并持有有效的检验合格证书。如因改装导致结构变动，应经箱体检验机构确认结构变动符合要求后重新签发检验证书。</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5.3组成UN3536的锂电池组之间不得连接，电池不得激活，电池不得充电（SOC要符合相关规定的要求）。</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5.4制造企业应充分考虑到道路运输、吊装、船舶积载的各个运输环节对重量的限制，不得无限制提高组件重量。</w:t>
      </w:r>
    </w:p>
    <w:p>
      <w:pPr>
        <w:widowControl/>
        <w:jc w:val="left"/>
        <w:rPr>
          <w:rFonts w:ascii="Times New Roman" w:hAnsi="Times New Roman" w:cs="Times New Roman"/>
        </w:rPr>
      </w:pPr>
      <w:r>
        <w:rPr>
          <w:rFonts w:ascii="Times New Roman" w:hAnsi="Times New Roman" w:cs="Times New Roman"/>
        </w:rPr>
        <w:br w:type="page"/>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附件VI:</w:t>
      </w:r>
    </w:p>
    <w:p>
      <w:pPr>
        <w:jc w:val="center"/>
        <w:rPr>
          <w:rFonts w:hint="eastAsia" w:ascii="黑体" w:hAnsi="黑体" w:eastAsia="黑体" w:cs="黑体"/>
          <w:sz w:val="32"/>
          <w:szCs w:val="32"/>
        </w:rPr>
      </w:pPr>
      <w:r>
        <w:rPr>
          <w:rFonts w:hint="eastAsia" w:ascii="黑体" w:hAnsi="黑体" w:eastAsia="黑体" w:cs="黑体"/>
          <w:sz w:val="32"/>
          <w:szCs w:val="32"/>
        </w:rPr>
        <w:t>申报员和装箱检查员从业资质</w:t>
      </w:r>
    </w:p>
    <w:p>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一位从事船载危险货物申报的申报人员（简称“申报员”）或者从事船载危险货物集装箱现场检查的检查人员（简称“装箱检查员”），都应当通过从业资格考核，取得相应的从业资格证书，在这之后才可以从事船载危险货物的申报、报告或者集装箱装箱现场检查工作。</w:t>
      </w:r>
    </w:p>
    <w:p>
      <w:pPr>
        <w:pStyle w:val="18"/>
        <w:widowControl/>
        <w:spacing w:line="560" w:lineRule="exact"/>
        <w:ind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1.报考条件</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从业资格考核按照危险货物国际水路运输和国内水路运输类型，细分为包装、散装固体、散装液体、装箱检查等种类。拟报名参加从业资格考核的人员应：</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（1）具有中华人民共和国国籍；</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年满18周岁，具有完全民事行为能力。考核合格的人员可获得相应类别的《危险化学品水路运输从业资格考核合格证明》。取得考核合格证明后，拟从事船载危险化学品申报和集装箱装箱现场检查的申报员和检查员，可向组织考核的海事管理机构申请从业资格。</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业资格考核由交通运输部海事局统一组织，每年举行1-2次，考试大纲、考点安排等事项通告会在考核时间确定后在浙江海事局微信公众号发布。特别要注意的是2年内未从事船载危险化学品申报或者集装箱装箱现场检查的，应当重新申请参加考核并取得从业资格后方可从业。</w:t>
      </w:r>
    </w:p>
    <w:p>
      <w:pPr>
        <w:pStyle w:val="18"/>
        <w:widowControl/>
        <w:spacing w:line="560" w:lineRule="exact"/>
        <w:ind w:firstLine="643"/>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2.从业资格证书申领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已通过从业资格考核的“两员”可使用“海事一网通办平台”危防管理模块完成危险化学品水路运输人员资格认可及从业资格证书申请。</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2.1申请人员登陆中国海事一网通办平台（</w:t>
      </w:r>
      <w:r>
        <w:fldChar w:fldCharType="begin"/>
      </w:r>
      <w:r>
        <w:instrText xml:space="preserve"> HYPERLINK "https://zwfw.msa.gov.cn/" </w:instrText>
      </w:r>
      <w:r>
        <w:fldChar w:fldCharType="separate"/>
      </w:r>
      <w:r>
        <w:rPr>
          <w:rFonts w:hint="eastAsia" w:ascii="仿宋_GB2312" w:hAnsi="仿宋_GB2312" w:eastAsia="仿宋_GB2312" w:cs="仿宋_GB2312"/>
          <w:sz w:val="32"/>
          <w:szCs w:val="32"/>
        </w:rPr>
        <w:t>https://zwfw.msa.gov.cn/</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spacing w:line="600" w:lineRule="exact"/>
        <w:rPr>
          <w:rFonts w:hint="eastAsia" w:ascii="仿宋_GB2312" w:eastAsia="仿宋_GB2312"/>
          <w:sz w:val="30"/>
          <w:szCs w:val="30"/>
        </w:rPr>
      </w:pPr>
      <w:r>
        <w:drawing>
          <wp:anchor distT="0" distB="0" distL="114300" distR="114300" simplePos="0" relativeHeight="251686912" behindDoc="0" locked="0" layoutInCell="1" allowOverlap="1">
            <wp:simplePos x="0" y="0"/>
            <wp:positionH relativeFrom="column">
              <wp:posOffset>146050</wp:posOffset>
            </wp:positionH>
            <wp:positionV relativeFrom="paragraph">
              <wp:posOffset>203200</wp:posOffset>
            </wp:positionV>
            <wp:extent cx="5270500" cy="3660140"/>
            <wp:effectExtent l="0" t="0" r="6350" b="0"/>
            <wp:wrapNone/>
            <wp:docPr id="7861044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04405" name="图片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0500" cy="3660140"/>
                    </a:xfrm>
                    <a:prstGeom prst="rect">
                      <a:avLst/>
                    </a:prstGeom>
                    <a:noFill/>
                    <a:ln>
                      <a:noFill/>
                    </a:ln>
                    <a:effectLst/>
                  </pic:spPr>
                </pic:pic>
              </a:graphicData>
            </a:graphic>
          </wp:anchor>
        </w:drawing>
      </w:r>
    </w:p>
    <w:p>
      <w:pPr>
        <w:spacing w:line="600" w:lineRule="exact"/>
        <w:rPr>
          <w:rFonts w:hint="eastAsia" w:ascii="仿宋_GB2312" w:eastAsia="仿宋_GB2312"/>
          <w:sz w:val="30"/>
          <w:szCs w:val="30"/>
        </w:rPr>
      </w:pPr>
    </w:p>
    <w:p>
      <w:pPr>
        <w:spacing w:line="600" w:lineRule="exact"/>
        <w:rPr>
          <w:rFonts w:hint="eastAsia" w:ascii="仿宋_GB2312" w:eastAsia="仿宋_GB2312"/>
          <w:sz w:val="30"/>
          <w:szCs w:val="30"/>
        </w:rPr>
      </w:pPr>
    </w:p>
    <w:p>
      <w:pPr>
        <w:spacing w:line="600" w:lineRule="exact"/>
        <w:rPr>
          <w:rFonts w:hint="eastAsia" w:ascii="仿宋_GB2312" w:eastAsia="仿宋_GB2312"/>
          <w:sz w:val="30"/>
          <w:szCs w:val="30"/>
        </w:rPr>
      </w:pPr>
    </w:p>
    <w:p>
      <w:pPr>
        <w:spacing w:line="600" w:lineRule="exact"/>
        <w:rPr>
          <w:rFonts w:hint="eastAsia" w:ascii="仿宋_GB2312" w:eastAsia="仿宋_GB2312"/>
          <w:sz w:val="30"/>
          <w:szCs w:val="30"/>
        </w:rPr>
      </w:pPr>
    </w:p>
    <w:p>
      <w:pPr>
        <w:spacing w:line="600" w:lineRule="exact"/>
        <w:rPr>
          <w:rFonts w:hint="eastAsia" w:ascii="仿宋_GB2312" w:eastAsia="仿宋_GB2312"/>
          <w:sz w:val="30"/>
          <w:szCs w:val="30"/>
        </w:rPr>
      </w:pPr>
    </w:p>
    <w:p>
      <w:pPr>
        <w:spacing w:line="600" w:lineRule="exact"/>
        <w:rPr>
          <w:rFonts w:hint="eastAsia" w:ascii="仿宋_GB2312" w:eastAsia="仿宋_GB2312"/>
          <w:sz w:val="30"/>
          <w:szCs w:val="30"/>
        </w:rPr>
      </w:pPr>
    </w:p>
    <w:p>
      <w:pPr>
        <w:spacing w:line="600" w:lineRule="exact"/>
        <w:rPr>
          <w:rFonts w:hint="eastAsia" w:ascii="仿宋_GB2312" w:eastAsia="仿宋_GB2312"/>
          <w:sz w:val="30"/>
          <w:szCs w:val="30"/>
        </w:rPr>
      </w:pPr>
    </w:p>
    <w:p>
      <w:pPr>
        <w:pStyle w:val="18"/>
        <w:ind w:firstLine="0" w:firstLineChars="0"/>
        <w:rPr>
          <w:rFonts w:hint="eastAsia" w:ascii="宋体" w:hAnsi="宋体" w:cs="宋体"/>
          <w:szCs w:val="21"/>
        </w:rPr>
      </w:pPr>
    </w:p>
    <w:p>
      <w:pPr>
        <w:pStyle w:val="18"/>
        <w:ind w:firstLine="0" w:firstLineChars="0"/>
        <w:rPr>
          <w:rFonts w:hint="eastAsia" w:ascii="宋体" w:hAnsi="宋体" w:cs="宋体"/>
          <w:szCs w:val="21"/>
        </w:rPr>
      </w:pPr>
    </w:p>
    <w:p>
      <w:pPr>
        <w:pStyle w:val="18"/>
        <w:ind w:firstLine="0" w:firstLineChars="0"/>
        <w:rPr>
          <w:rFonts w:hint="eastAsia" w:ascii="宋体" w:hAnsi="宋体" w:cs="宋体"/>
          <w:szCs w:val="21"/>
        </w:rPr>
      </w:pPr>
    </w:p>
    <w:p>
      <w:pPr>
        <w:pStyle w:val="18"/>
        <w:ind w:firstLine="0" w:firstLineChars="0"/>
        <w:rPr>
          <w:rFonts w:hint="eastAsia" w:ascii="宋体" w:hAnsi="宋体" w:cs="宋体"/>
          <w:szCs w:val="21"/>
        </w:rPr>
      </w:pPr>
    </w:p>
    <w:p>
      <w:pPr>
        <w:pStyle w:val="18"/>
        <w:ind w:firstLine="0" w:firstLineChars="0"/>
        <w:rPr>
          <w:rFonts w:hint="eastAsia" w:ascii="宋体" w:hAnsi="宋体" w:cs="宋体"/>
          <w:szCs w:val="21"/>
        </w:rPr>
      </w:pPr>
    </w:p>
    <w:p>
      <w:pPr>
        <w:spacing w:line="560" w:lineRule="exact"/>
        <w:ind w:firstLine="640" w:firstLineChars="200"/>
        <w:rPr>
          <w:rFonts w:hint="eastAsia" w:ascii="仿宋_GB2312" w:eastAsia="仿宋_GB2312"/>
          <w:color w:val="333333"/>
          <w:sz w:val="32"/>
          <w:szCs w:val="32"/>
        </w:rPr>
      </w:pPr>
      <w:r>
        <w:rPr>
          <w:rFonts w:hint="eastAsia" w:ascii="仿宋_GB2312" w:eastAsia="仿宋_GB2312"/>
          <w:sz w:val="32"/>
          <w:szCs w:val="32"/>
        </w:rPr>
        <w:t>2.2进入</w:t>
      </w:r>
      <w:r>
        <w:rPr>
          <w:rFonts w:hint="eastAsia" w:ascii="仿宋_GB2312" w:eastAsia="仿宋_GB2312"/>
          <w:color w:val="333333"/>
          <w:sz w:val="32"/>
          <w:szCs w:val="32"/>
        </w:rPr>
        <w:t>危险货物水路运输从业人员考核</w:t>
      </w:r>
      <w:r>
        <w:rPr>
          <w:rFonts w:hint="eastAsia" w:ascii="仿宋_GB2312" w:eastAsia="仿宋_GB2312"/>
          <w:sz w:val="32"/>
          <w:szCs w:val="32"/>
        </w:rPr>
        <w:t>界面</w:t>
      </w:r>
    </w:p>
    <w:p>
      <w:pPr>
        <w:pStyle w:val="18"/>
        <w:spacing w:line="560" w:lineRule="exact"/>
        <w:ind w:firstLine="640"/>
        <w:jc w:val="left"/>
        <w:rPr>
          <w:rFonts w:hint="eastAsia" w:ascii="仿宋_GB2312" w:eastAsia="仿宋_GB2312"/>
          <w:sz w:val="32"/>
          <w:szCs w:val="32"/>
        </w:rPr>
      </w:pPr>
      <w:r>
        <w:rPr>
          <w:rFonts w:hint="eastAsia" w:ascii="仿宋_GB2312" w:eastAsia="仿宋_GB2312"/>
          <w:sz w:val="32"/>
          <w:szCs w:val="32"/>
        </w:rPr>
        <w:t>在【首页】_【</w:t>
      </w:r>
      <w:r>
        <w:rPr>
          <w:rFonts w:hint="eastAsia" w:ascii="仿宋_GB2312" w:eastAsia="仿宋_GB2312"/>
          <w:color w:val="333333"/>
          <w:sz w:val="32"/>
          <w:szCs w:val="32"/>
          <w:shd w:val="clear" w:color="auto" w:fill="DFEEFE"/>
        </w:rPr>
        <w:t>更多业务办理</w:t>
      </w:r>
      <w:r>
        <w:rPr>
          <w:rFonts w:hint="eastAsia" w:ascii="仿宋_GB2312" w:eastAsia="仿宋_GB2312"/>
          <w:sz w:val="32"/>
          <w:szCs w:val="32"/>
        </w:rPr>
        <w:t>】区域，单击【危险货物水路运输从业人员考核】按钮。</w:t>
      </w:r>
    </w:p>
    <w:p>
      <w:pPr>
        <w:pStyle w:val="18"/>
        <w:ind w:firstLine="360" w:firstLineChars="120"/>
        <w:jc w:val="left"/>
        <w:rPr>
          <w:rFonts w:hint="eastAsia" w:ascii="仿宋_GB2312" w:eastAsia="仿宋_GB2312"/>
          <w:sz w:val="30"/>
          <w:szCs w:val="30"/>
        </w:rPr>
      </w:pPr>
      <w:r>
        <w:rPr>
          <w:rFonts w:hint="eastAsia" w:ascii="仿宋_GB2312" w:eastAsia="仿宋_GB2312"/>
          <w:sz w:val="30"/>
          <w:szCs w:val="30"/>
        </w:rPr>
        <w:drawing>
          <wp:inline distT="0" distB="0" distL="0" distR="0">
            <wp:extent cx="5272405" cy="1931035"/>
            <wp:effectExtent l="0" t="0" r="4445" b="0"/>
            <wp:docPr id="1825866559" name="图片 8" descr="1629774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66559" name="图片 8" descr="162977457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2405" cy="1931035"/>
                    </a:xfrm>
                    <a:prstGeom prst="rect">
                      <a:avLst/>
                    </a:prstGeom>
                    <a:noFill/>
                    <a:ln>
                      <a:noFill/>
                    </a:ln>
                  </pic:spPr>
                </pic:pic>
              </a:graphicData>
            </a:graphic>
          </wp:inline>
        </w:drawing>
      </w:r>
    </w:p>
    <w:p>
      <w:pPr>
        <w:ind w:left="-199" w:leftChars="-95" w:firstLine="199" w:firstLineChars="95"/>
        <w:jc w:val="left"/>
        <w:rPr>
          <w:rFonts w:hint="eastAsia"/>
        </w:rPr>
      </w:pP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2.3合格证打印界面</w:t>
      </w:r>
    </w:p>
    <w:p>
      <w:pPr>
        <w:spacing w:line="560" w:lineRule="exact"/>
        <w:ind w:left="-199" w:leftChars="-95" w:firstLine="640" w:firstLineChars="200"/>
        <w:jc w:val="left"/>
        <w:rPr>
          <w:rFonts w:hint="eastAsia" w:ascii="仿宋_GB2312" w:eastAsia="仿宋_GB2312"/>
          <w:sz w:val="32"/>
          <w:szCs w:val="32"/>
        </w:rPr>
      </w:pPr>
      <w:r>
        <w:rPr>
          <w:rFonts w:hint="eastAsia" w:ascii="宋体" w:hAnsi="宋体" w:cs="宋体"/>
          <w:sz w:val="32"/>
          <w:szCs w:val="32"/>
        </w:rPr>
        <w:t xml:space="preserve"> </w:t>
      </w:r>
      <w:r>
        <w:rPr>
          <w:rFonts w:hint="eastAsia" w:ascii="仿宋_GB2312" w:eastAsia="仿宋_GB2312"/>
          <w:sz w:val="32"/>
          <w:szCs w:val="32"/>
        </w:rPr>
        <w:t>在【危险货物水路运输从业人员考核】界面【成绩查询及合格证打印】区域查看考试成绩。单击【打印】链接，可以打印考试成绩。</w:t>
      </w:r>
    </w:p>
    <w:p>
      <w:pPr>
        <w:ind w:left="-199" w:leftChars="-95" w:firstLine="199" w:firstLineChars="95"/>
        <w:jc w:val="left"/>
        <w:rPr>
          <w:rFonts w:hint="eastAsia" w:ascii="仿宋_GB2312" w:eastAsia="仿宋_GB2312"/>
          <w:sz w:val="30"/>
          <w:szCs w:val="30"/>
        </w:rPr>
      </w:pPr>
      <w:r>
        <w:drawing>
          <wp:inline distT="0" distB="0" distL="0" distR="0">
            <wp:extent cx="5268595" cy="3110230"/>
            <wp:effectExtent l="0" t="0" r="8255" b="0"/>
            <wp:docPr id="5861430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43077" name="图片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68595" cy="3110230"/>
                    </a:xfrm>
                    <a:prstGeom prst="rect">
                      <a:avLst/>
                    </a:prstGeom>
                    <a:noFill/>
                    <a:ln>
                      <a:noFill/>
                    </a:ln>
                  </pic:spPr>
                </pic:pic>
              </a:graphicData>
            </a:graphic>
          </wp:inline>
        </w:drawing>
      </w:r>
    </w:p>
    <w:p>
      <w:pPr>
        <w:ind w:left="-199" w:leftChars="-95" w:firstLine="199" w:firstLineChars="95"/>
        <w:jc w:val="left"/>
        <w:rPr>
          <w:rFonts w:hint="eastAsia" w:ascii="仿宋_GB2312" w:eastAsia="仿宋_GB2312"/>
          <w:sz w:val="30"/>
          <w:szCs w:val="30"/>
        </w:rPr>
      </w:pPr>
      <w:r>
        <w:drawing>
          <wp:inline distT="0" distB="0" distL="0" distR="0">
            <wp:extent cx="5274310" cy="2436495"/>
            <wp:effectExtent l="0" t="0" r="2540" b="1905"/>
            <wp:docPr id="4581408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40858" name="图片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2436495"/>
                    </a:xfrm>
                    <a:prstGeom prst="rect">
                      <a:avLst/>
                    </a:prstGeom>
                    <a:noFill/>
                    <a:ln>
                      <a:noFill/>
                    </a:ln>
                    <a:effectLst/>
                  </pic:spPr>
                </pic:pic>
              </a:graphicData>
            </a:graphic>
          </wp:inline>
        </w:drawing>
      </w:r>
    </w:p>
    <w:p>
      <w:pPr>
        <w:spacing w:line="560" w:lineRule="exact"/>
        <w:ind w:firstLine="600" w:firstLineChars="200"/>
        <w:rPr>
          <w:rFonts w:hint="eastAsia" w:ascii="仿宋_GB2312" w:eastAsia="仿宋_GB2312"/>
          <w:sz w:val="32"/>
          <w:szCs w:val="32"/>
        </w:rPr>
      </w:pPr>
      <w:r>
        <w:rPr>
          <w:rFonts w:hint="eastAsia" w:ascii="仿宋_GB2312" w:eastAsia="仿宋_GB2312"/>
          <w:sz w:val="30"/>
          <w:szCs w:val="30"/>
        </w:rPr>
        <w:t xml:space="preserve"> 2.</w:t>
      </w:r>
      <w:r>
        <w:rPr>
          <w:rFonts w:hint="eastAsia" w:ascii="仿宋_GB2312" w:eastAsia="仿宋_GB2312"/>
          <w:sz w:val="32"/>
          <w:szCs w:val="32"/>
        </w:rPr>
        <w:t>4危险化学品水路运输人员资格认可界面</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在【危险货物水路运输从业人员考核】界面【申请资格证书】区域查看考试成绩。</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单击【申请资格证书】链接，可以转入【危险化学品水路运输人员资格认可（申报人员、集装箱装箱现场检查员】界面。</w:t>
      </w:r>
    </w:p>
    <w:p>
      <w:pPr>
        <w:spacing w:line="600" w:lineRule="exact"/>
        <w:ind w:firstLine="480" w:firstLineChars="200"/>
        <w:rPr>
          <w:rFonts w:hint="eastAsia" w:ascii="宋体" w:hAnsi="宋体" w:cs="宋体"/>
          <w:sz w:val="24"/>
        </w:rPr>
      </w:pPr>
      <w:r>
        <w:rPr>
          <w:rFonts w:hint="eastAsia" w:ascii="宋体" w:hAnsi="宋体" w:cs="宋体"/>
          <w:sz w:val="24"/>
        </w:rPr>
        <w:drawing>
          <wp:anchor distT="0" distB="0" distL="114300" distR="114300" simplePos="0" relativeHeight="251684864" behindDoc="0" locked="0" layoutInCell="1" allowOverlap="1">
            <wp:simplePos x="0" y="0"/>
            <wp:positionH relativeFrom="column">
              <wp:posOffset>-22860</wp:posOffset>
            </wp:positionH>
            <wp:positionV relativeFrom="paragraph">
              <wp:posOffset>209550</wp:posOffset>
            </wp:positionV>
            <wp:extent cx="5274310" cy="2167255"/>
            <wp:effectExtent l="0" t="0" r="2540" b="4445"/>
            <wp:wrapNone/>
            <wp:docPr id="1941073548" name="图片 12" descr="1629785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73548" name="图片 12" descr="162978555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2167255"/>
                    </a:xfrm>
                    <a:prstGeom prst="rect">
                      <a:avLst/>
                    </a:prstGeom>
                    <a:noFill/>
                    <a:ln>
                      <a:noFill/>
                    </a:ln>
                  </pic:spPr>
                </pic:pic>
              </a:graphicData>
            </a:graphic>
          </wp:anchor>
        </w:drawing>
      </w:r>
    </w:p>
    <w:p>
      <w:pPr>
        <w:spacing w:line="600" w:lineRule="exact"/>
        <w:rPr>
          <w:rFonts w:hint="eastAsia" w:ascii="宋体" w:hAnsi="宋体" w:cs="宋体"/>
          <w:sz w:val="24"/>
        </w:rPr>
      </w:pPr>
    </w:p>
    <w:p>
      <w:pPr>
        <w:spacing w:line="600" w:lineRule="exact"/>
        <w:rPr>
          <w:rFonts w:hint="eastAsia" w:ascii="宋体" w:hAnsi="宋体" w:cs="宋体"/>
          <w:sz w:val="24"/>
        </w:rPr>
      </w:pPr>
    </w:p>
    <w:p>
      <w:pPr>
        <w:spacing w:line="600" w:lineRule="exact"/>
        <w:rPr>
          <w:rFonts w:hint="eastAsia" w:ascii="宋体" w:hAnsi="宋体" w:cs="宋体"/>
          <w:sz w:val="24"/>
        </w:rPr>
      </w:pPr>
    </w:p>
    <w:p>
      <w:pPr>
        <w:pStyle w:val="18"/>
        <w:rPr>
          <w:rFonts w:hint="eastAsia" w:ascii="宋体" w:hAnsi="宋体" w:cs="宋体"/>
          <w:szCs w:val="21"/>
        </w:rPr>
      </w:pPr>
    </w:p>
    <w:p>
      <w:pPr>
        <w:spacing w:line="600" w:lineRule="exact"/>
        <w:ind w:firstLine="420" w:firstLineChars="200"/>
        <w:rPr>
          <w:rFonts w:hint="eastAsia" w:ascii="仿宋_GB2312" w:eastAsia="仿宋_GB2312"/>
          <w:sz w:val="30"/>
          <w:szCs w:val="30"/>
        </w:rPr>
      </w:pPr>
      <w:r>
        <w:drawing>
          <wp:anchor distT="0" distB="0" distL="114300" distR="114300" simplePos="0" relativeHeight="251683840" behindDoc="1" locked="0" layoutInCell="1" allowOverlap="1">
            <wp:simplePos x="0" y="0"/>
            <wp:positionH relativeFrom="column">
              <wp:posOffset>215900</wp:posOffset>
            </wp:positionH>
            <wp:positionV relativeFrom="paragraph">
              <wp:posOffset>91440</wp:posOffset>
            </wp:positionV>
            <wp:extent cx="4465955" cy="2646680"/>
            <wp:effectExtent l="0" t="0" r="0" b="1270"/>
            <wp:wrapThrough wrapText="bothSides">
              <wp:wrapPolygon>
                <wp:start x="0" y="0"/>
                <wp:lineTo x="0" y="21455"/>
                <wp:lineTo x="21468" y="21455"/>
                <wp:lineTo x="21468" y="0"/>
                <wp:lineTo x="0" y="0"/>
              </wp:wrapPolygon>
            </wp:wrapThrough>
            <wp:docPr id="18798497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49756" name="图片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65955" cy="2646680"/>
                    </a:xfrm>
                    <a:prstGeom prst="rect">
                      <a:avLst/>
                    </a:prstGeom>
                    <a:noFill/>
                    <a:ln>
                      <a:noFill/>
                    </a:ln>
                    <a:effectLst/>
                  </pic:spPr>
                </pic:pic>
              </a:graphicData>
            </a:graphic>
          </wp:anchor>
        </w:drawing>
      </w:r>
    </w:p>
    <w:p>
      <w:pPr>
        <w:spacing w:line="600" w:lineRule="exact"/>
        <w:ind w:firstLine="600" w:firstLineChars="200"/>
        <w:rPr>
          <w:rFonts w:hint="eastAsia" w:ascii="仿宋_GB2312" w:eastAsia="仿宋_GB2312"/>
          <w:sz w:val="30"/>
          <w:szCs w:val="30"/>
        </w:rPr>
      </w:pPr>
    </w:p>
    <w:p>
      <w:pPr>
        <w:spacing w:line="600" w:lineRule="exact"/>
        <w:ind w:firstLine="600" w:firstLineChars="200"/>
        <w:rPr>
          <w:rFonts w:hint="eastAsia" w:ascii="仿宋_GB2312" w:eastAsia="仿宋_GB2312"/>
          <w:sz w:val="30"/>
          <w:szCs w:val="30"/>
        </w:rPr>
      </w:pPr>
    </w:p>
    <w:p>
      <w:pPr>
        <w:spacing w:line="600" w:lineRule="exact"/>
        <w:ind w:firstLine="600" w:firstLineChars="200"/>
        <w:rPr>
          <w:rFonts w:hint="eastAsia" w:ascii="仿宋_GB2312" w:eastAsia="仿宋_GB2312"/>
          <w:sz w:val="30"/>
          <w:szCs w:val="30"/>
        </w:rPr>
      </w:pPr>
    </w:p>
    <w:p>
      <w:pPr>
        <w:spacing w:line="600" w:lineRule="exact"/>
        <w:ind w:firstLine="600" w:firstLineChars="200"/>
        <w:rPr>
          <w:rFonts w:hint="eastAsia" w:ascii="仿宋_GB2312" w:eastAsia="仿宋_GB2312"/>
          <w:sz w:val="30"/>
          <w:szCs w:val="30"/>
        </w:rPr>
      </w:pPr>
    </w:p>
    <w:p>
      <w:pPr>
        <w:spacing w:line="600" w:lineRule="exact"/>
        <w:ind w:firstLine="600" w:firstLineChars="200"/>
        <w:rPr>
          <w:rFonts w:hint="eastAsia" w:ascii="仿宋_GB2312" w:eastAsia="仿宋_GB2312"/>
          <w:sz w:val="30"/>
          <w:szCs w:val="30"/>
        </w:rPr>
      </w:pPr>
    </w:p>
    <w:p>
      <w:pPr>
        <w:spacing w:line="600" w:lineRule="exact"/>
        <w:ind w:firstLine="600" w:firstLineChars="200"/>
        <w:rPr>
          <w:rFonts w:hint="eastAsia" w:ascii="仿宋_GB2312" w:eastAsia="仿宋_GB2312"/>
          <w:sz w:val="30"/>
          <w:szCs w:val="30"/>
        </w:rPr>
      </w:pPr>
    </w:p>
    <w:p>
      <w:pPr>
        <w:spacing w:line="600" w:lineRule="exact"/>
        <w:ind w:firstLine="420" w:firstLineChars="200"/>
        <w:rPr>
          <w:rFonts w:hint="eastAsia" w:ascii="仿宋_GB2312" w:eastAsia="仿宋_GB2312"/>
          <w:sz w:val="30"/>
          <w:szCs w:val="30"/>
        </w:rPr>
      </w:pPr>
      <w:r>
        <w:drawing>
          <wp:anchor distT="0" distB="0" distL="114300" distR="114300" simplePos="0" relativeHeight="251685888" behindDoc="0" locked="0" layoutInCell="1" allowOverlap="1">
            <wp:simplePos x="0" y="0"/>
            <wp:positionH relativeFrom="column">
              <wp:posOffset>168910</wp:posOffset>
            </wp:positionH>
            <wp:positionV relativeFrom="paragraph">
              <wp:posOffset>343535</wp:posOffset>
            </wp:positionV>
            <wp:extent cx="4866005" cy="1828165"/>
            <wp:effectExtent l="0" t="0" r="0" b="635"/>
            <wp:wrapNone/>
            <wp:docPr id="19688329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32931"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866005" cy="1828165"/>
                    </a:xfrm>
                    <a:prstGeom prst="rect">
                      <a:avLst/>
                    </a:prstGeom>
                    <a:noFill/>
                    <a:ln>
                      <a:noFill/>
                    </a:ln>
                    <a:effectLst/>
                  </pic:spPr>
                </pic:pic>
              </a:graphicData>
            </a:graphic>
          </wp:anchor>
        </w:drawing>
      </w:r>
    </w:p>
    <w:p>
      <w:pPr>
        <w:spacing w:line="600" w:lineRule="exact"/>
        <w:ind w:firstLine="600" w:firstLineChars="200"/>
        <w:rPr>
          <w:rFonts w:hint="eastAsia" w:ascii="仿宋_GB2312" w:eastAsia="仿宋_GB2312"/>
          <w:sz w:val="30"/>
          <w:szCs w:val="30"/>
        </w:rPr>
      </w:pPr>
    </w:p>
    <w:p>
      <w:pPr>
        <w:spacing w:line="600" w:lineRule="exact"/>
        <w:ind w:firstLine="600" w:firstLineChars="200"/>
        <w:rPr>
          <w:rFonts w:hint="eastAsia" w:ascii="仿宋_GB2312" w:eastAsia="仿宋_GB2312"/>
          <w:sz w:val="30"/>
          <w:szCs w:val="30"/>
        </w:rPr>
      </w:pPr>
    </w:p>
    <w:p>
      <w:pPr>
        <w:spacing w:line="600" w:lineRule="exact"/>
        <w:ind w:firstLine="600" w:firstLineChars="200"/>
        <w:rPr>
          <w:rFonts w:hint="eastAsia" w:ascii="仿宋_GB2312" w:eastAsia="仿宋_GB2312"/>
          <w:sz w:val="30"/>
          <w:szCs w:val="30"/>
        </w:rPr>
      </w:pPr>
    </w:p>
    <w:p>
      <w:pPr>
        <w:spacing w:line="600" w:lineRule="exact"/>
        <w:ind w:firstLine="600" w:firstLineChars="200"/>
        <w:rPr>
          <w:rFonts w:hint="eastAsia" w:ascii="仿宋_GB2312" w:eastAsia="仿宋_GB2312"/>
          <w:sz w:val="30"/>
          <w:szCs w:val="30"/>
        </w:rPr>
      </w:pPr>
    </w:p>
    <w:p>
      <w:pPr>
        <w:spacing w:line="600" w:lineRule="exact"/>
        <w:ind w:firstLine="600" w:firstLineChars="200"/>
        <w:rPr>
          <w:rFonts w:hint="eastAsia" w:ascii="仿宋_GB2312" w:eastAsia="仿宋_GB2312"/>
          <w:sz w:val="30"/>
          <w:szCs w:val="30"/>
        </w:rPr>
      </w:pP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2.5申请人员在附件栏中上传：</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①身份证扫描件（正反面在同一页）</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②同一单位连续3个月的相应业务实习经历证明扫描件（并附实习公司营业执照扫描件），其中实习经历证明至少包括以下信息：实习人员（即申请人）姓名、身份证号、实习时段、与所申领证书相应的实习内容或项目，落款应有实习单位盖章。如涉及多个证书权限，需要由多家单位出具的，请合并到一个PDF中上传。</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④医疗机构出具的证明具有正常辨色力的体检证明扫描件（仅适用于申请“装箱现场检查员”）</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如已签发过两员资格证书，申请系统默认为换证申请，领取证书时需将原资格证书收回。</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2.6保存、提交</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申请成功后可通过系统查询审批状态。审批通过的，浙江海事局将实施批量制作证书，并予以发证。</w:t>
      </w:r>
    </w:p>
    <w:p>
      <w:pPr>
        <w:pStyle w:val="18"/>
        <w:widowControl/>
        <w:spacing w:line="560" w:lineRule="exact"/>
        <w:ind w:firstLine="643"/>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3.信息报送</w:t>
      </w:r>
    </w:p>
    <w:p>
      <w:pPr>
        <w:spacing w:line="560" w:lineRule="exact"/>
        <w:ind w:firstLine="640" w:firstLineChars="200"/>
        <w:rPr>
          <w:rFonts w:hint="eastAsia" w:ascii="宋体" w:hAnsi="宋体" w:cs="宋体"/>
          <w:szCs w:val="21"/>
        </w:rPr>
      </w:pPr>
      <w:r>
        <w:rPr>
          <w:rFonts w:hint="eastAsia" w:ascii="仿宋_GB2312" w:eastAsia="仿宋_GB2312"/>
          <w:sz w:val="32"/>
          <w:szCs w:val="32"/>
        </w:rPr>
        <w:t>在领取从业资格证书之后，申报员和装箱检查员所从业的单位应将人员从业信息报送所</w:t>
      </w:r>
      <w:r>
        <w:rPr>
          <w:rFonts w:hint="eastAsia" w:ascii="仿宋_GB2312" w:hAnsi="Times New Roman" w:eastAsia="仿宋_GB2312"/>
          <w:sz w:val="32"/>
          <w:szCs w:val="32"/>
        </w:rPr>
        <w:t>在地海事管理机构进行确认，这是获得海事危防申报系统权限的重要环节。</w:t>
      </w:r>
    </w:p>
    <w:p>
      <w:pPr>
        <w:pStyle w:val="18"/>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在浙江辖区港口出货的相关从业单位可将其所聘用“两员”的从业信息通过“企业信息及人员信息”报送至各分支海事局。</w:t>
      </w:r>
    </w:p>
    <w:p>
      <w:pPr>
        <w:pStyle w:val="18"/>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3.1聘用“两员”的从业单位登陆中国海事一网通办平台（</w:t>
      </w:r>
      <w:r>
        <w:fldChar w:fldCharType="begin"/>
      </w:r>
      <w:r>
        <w:instrText xml:space="preserve"> HYPERLINK "https://zwfw.msa.gov.cn/" </w:instrText>
      </w:r>
      <w:r>
        <w:fldChar w:fldCharType="separate"/>
      </w:r>
      <w:r>
        <w:rPr>
          <w:rFonts w:hint="eastAsia" w:ascii="仿宋_GB2312" w:hAnsi="仿宋_GB2312" w:eastAsia="仿宋_GB2312" w:cs="仿宋_GB2312"/>
          <w:sz w:val="32"/>
          <w:szCs w:val="32"/>
        </w:rPr>
        <w:t>https://zwfw.msa.gov.cn/</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pStyle w:val="18"/>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3.2进入企业信息及人员信息报送</w:t>
      </w:r>
    </w:p>
    <w:p>
      <w:pPr>
        <w:tabs>
          <w:tab w:val="left" w:pos="776"/>
          <w:tab w:val="left" w:pos="2292"/>
        </w:tabs>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在用户中心点击企业信息，进入企业信息及人员信息报送界面。</w:t>
      </w:r>
    </w:p>
    <w:p>
      <w:pPr>
        <w:pStyle w:val="18"/>
        <w:rPr>
          <w:rFonts w:ascii="仿宋_GB2312" w:hAnsi="Times New Roman" w:eastAsia="仿宋_GB2312"/>
          <w:sz w:val="30"/>
          <w:szCs w:val="30"/>
        </w:rPr>
      </w:pPr>
      <w:r>
        <w:drawing>
          <wp:inline distT="0" distB="0" distL="0" distR="0">
            <wp:extent cx="5274310" cy="2856865"/>
            <wp:effectExtent l="0" t="0" r="2540" b="635"/>
            <wp:docPr id="18403532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53226"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2856865"/>
                    </a:xfrm>
                    <a:prstGeom prst="rect">
                      <a:avLst/>
                    </a:prstGeom>
                    <a:noFill/>
                    <a:ln>
                      <a:noFill/>
                    </a:ln>
                  </pic:spPr>
                </pic:pic>
              </a:graphicData>
            </a:graphic>
          </wp:inline>
        </w:drawing>
      </w:r>
    </w:p>
    <w:p>
      <w:pPr>
        <w:pStyle w:val="18"/>
        <w:spacing w:line="560" w:lineRule="exact"/>
        <w:ind w:firstLine="640"/>
        <w:rPr>
          <w:rFonts w:ascii="仿宋_GB2312" w:hAnsi="Times New Roman" w:eastAsia="仿宋_GB2312"/>
          <w:sz w:val="32"/>
          <w:szCs w:val="32"/>
        </w:rPr>
      </w:pPr>
      <w:r>
        <w:rPr>
          <w:rFonts w:hint="eastAsia" w:ascii="仿宋_GB2312" w:hAnsi="Times New Roman" w:eastAsia="仿宋_GB2312"/>
          <w:sz w:val="32"/>
          <w:szCs w:val="32"/>
        </w:rPr>
        <w:t>3.3点击人员信息报送，进入人员信息报送界面，通过姓名可以对报送的人员进行检索。</w:t>
      </w:r>
    </w:p>
    <w:p>
      <w:pPr>
        <w:pStyle w:val="18"/>
        <w:rPr>
          <w:rFonts w:ascii="仿宋_GB2312" w:hAnsi="Times New Roman" w:eastAsia="仿宋_GB2312"/>
          <w:sz w:val="30"/>
          <w:szCs w:val="30"/>
        </w:rPr>
      </w:pPr>
      <w:r>
        <w:drawing>
          <wp:inline distT="0" distB="0" distL="0" distR="0">
            <wp:extent cx="5274310" cy="2017395"/>
            <wp:effectExtent l="0" t="0" r="2540" b="1905"/>
            <wp:docPr id="10450298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29817"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4310" cy="2017395"/>
                    </a:xfrm>
                    <a:prstGeom prst="rect">
                      <a:avLst/>
                    </a:prstGeom>
                    <a:noFill/>
                    <a:ln>
                      <a:noFill/>
                    </a:ln>
                  </pic:spPr>
                </pic:pic>
              </a:graphicData>
            </a:graphic>
          </wp:inline>
        </w:drawing>
      </w:r>
    </w:p>
    <w:p>
      <w:pPr>
        <w:pStyle w:val="18"/>
        <w:spacing w:line="560" w:lineRule="exact"/>
        <w:ind w:firstLine="640"/>
        <w:rPr>
          <w:rFonts w:ascii="仿宋_GB2312" w:hAnsi="Times New Roman" w:eastAsia="仿宋_GB2312"/>
          <w:sz w:val="32"/>
          <w:szCs w:val="32"/>
        </w:rPr>
      </w:pPr>
      <w:r>
        <w:rPr>
          <w:rFonts w:hint="eastAsia" w:ascii="仿宋_GB2312" w:hAnsi="Times New Roman" w:eastAsia="仿宋_GB2312"/>
          <w:sz w:val="32"/>
          <w:szCs w:val="32"/>
        </w:rPr>
        <w:t>3.4新增人员信息</w:t>
      </w:r>
    </w:p>
    <w:p>
      <w:pPr>
        <w:tabs>
          <w:tab w:val="left" w:pos="776"/>
          <w:tab w:val="left" w:pos="2292"/>
        </w:tabs>
        <w:spacing w:line="560" w:lineRule="exact"/>
        <w:ind w:firstLine="640" w:firstLineChars="200"/>
        <w:jc w:val="left"/>
        <w:rPr>
          <w:rFonts w:hint="eastAsia"/>
          <w:sz w:val="32"/>
          <w:szCs w:val="32"/>
        </w:rPr>
      </w:pPr>
      <w:r>
        <w:rPr>
          <w:rFonts w:hint="eastAsia" w:ascii="仿宋_GB2312" w:hAnsi="Times New Roman" w:eastAsia="仿宋_GB2312"/>
          <w:sz w:val="32"/>
          <w:szCs w:val="32"/>
        </w:rPr>
        <w:t>点击新增人员信息，弹出人员信息新增窗口。</w:t>
      </w:r>
    </w:p>
    <w:p>
      <w:pPr>
        <w:pStyle w:val="18"/>
        <w:rPr>
          <w:rFonts w:ascii="仿宋_GB2312" w:hAnsi="Times New Roman" w:eastAsia="仿宋_GB2312"/>
          <w:sz w:val="30"/>
          <w:szCs w:val="30"/>
        </w:rPr>
      </w:pPr>
      <w:r>
        <w:drawing>
          <wp:inline distT="0" distB="0" distL="0" distR="0">
            <wp:extent cx="3977005" cy="2033905"/>
            <wp:effectExtent l="0" t="0" r="4445" b="4445"/>
            <wp:docPr id="532627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27427"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27149" cy="2060120"/>
                    </a:xfrm>
                    <a:prstGeom prst="rect">
                      <a:avLst/>
                    </a:prstGeom>
                    <a:noFill/>
                    <a:ln>
                      <a:noFill/>
                    </a:ln>
                    <a:effectLst/>
                  </pic:spPr>
                </pic:pic>
              </a:graphicData>
            </a:graphic>
          </wp:inline>
        </w:drawing>
      </w:r>
    </w:p>
    <w:p>
      <w:pPr>
        <w:pStyle w:val="18"/>
        <w:spacing w:line="560" w:lineRule="exact"/>
        <w:ind w:firstLine="640"/>
        <w:rPr>
          <w:rFonts w:ascii="仿宋_GB2312" w:hAnsi="Times New Roman" w:eastAsia="仿宋_GB2312"/>
          <w:sz w:val="32"/>
          <w:szCs w:val="32"/>
        </w:rPr>
      </w:pPr>
      <w:r>
        <w:rPr>
          <w:rFonts w:hint="eastAsia" w:ascii="仿宋_GB2312" w:hAnsi="Times New Roman" w:eastAsia="仿宋_GB2312"/>
          <w:sz w:val="32"/>
          <w:szCs w:val="32"/>
        </w:rPr>
        <w:t>3.5从业单位须在附件栏中上传聘用人员相关信息资料：</w:t>
      </w:r>
    </w:p>
    <w:p>
      <w:pPr>
        <w:pStyle w:val="18"/>
        <w:spacing w:line="560" w:lineRule="exact"/>
        <w:ind w:firstLine="640"/>
        <w:rPr>
          <w:rFonts w:ascii="仿宋_GB2312" w:hAnsi="Times New Roman" w:eastAsia="仿宋_GB2312"/>
          <w:sz w:val="32"/>
          <w:szCs w:val="32"/>
        </w:rPr>
      </w:pPr>
      <w:r>
        <w:rPr>
          <w:rFonts w:hint="eastAsia" w:ascii="仿宋_GB2312" w:hAnsi="Times New Roman" w:eastAsia="仿宋_GB2312"/>
          <w:sz w:val="32"/>
          <w:szCs w:val="32"/>
        </w:rPr>
        <w:t>①聘用人员的身份证扫描件（正反面在同一页）</w:t>
      </w:r>
    </w:p>
    <w:p>
      <w:pPr>
        <w:pStyle w:val="18"/>
        <w:spacing w:line="560" w:lineRule="exact"/>
        <w:ind w:firstLine="640"/>
        <w:rPr>
          <w:rFonts w:ascii="仿宋_GB2312" w:hAnsi="Times New Roman" w:eastAsia="仿宋_GB2312"/>
          <w:sz w:val="32"/>
          <w:szCs w:val="32"/>
        </w:rPr>
      </w:pPr>
      <w:r>
        <w:rPr>
          <w:rFonts w:hint="eastAsia" w:ascii="仿宋_GB2312" w:hAnsi="Times New Roman" w:eastAsia="仿宋_GB2312"/>
          <w:sz w:val="32"/>
          <w:szCs w:val="32"/>
        </w:rPr>
        <w:t>②公司聘用的证明材料扫描件（如劳动合同、在职证明或保险缴纳证明等均可）</w:t>
      </w:r>
    </w:p>
    <w:p>
      <w:pPr>
        <w:pStyle w:val="18"/>
        <w:spacing w:line="560" w:lineRule="exact"/>
        <w:ind w:firstLine="640"/>
        <w:rPr>
          <w:rFonts w:hint="eastAsia" w:ascii="仿宋_GB2312" w:hAnsi="Times New Roman" w:eastAsia="仿宋_GB2312"/>
          <w:sz w:val="32"/>
          <w:szCs w:val="32"/>
        </w:rPr>
      </w:pPr>
      <w:r>
        <w:rPr>
          <w:rFonts w:hint="eastAsia" w:ascii="仿宋_GB2312" w:hAnsi="Times New Roman" w:eastAsia="仿宋_GB2312"/>
          <w:sz w:val="32"/>
          <w:szCs w:val="32"/>
        </w:rPr>
        <w:t>③聘用人员的从业资格证书扫描件</w:t>
      </w:r>
    </w:p>
    <w:p>
      <w:pPr>
        <w:pStyle w:val="18"/>
        <w:spacing w:line="560" w:lineRule="exact"/>
        <w:ind w:firstLine="640"/>
        <w:rPr>
          <w:rFonts w:ascii="仿宋_GB2312" w:hAnsi="Times New Roman" w:eastAsia="仿宋_GB2312"/>
          <w:sz w:val="32"/>
          <w:szCs w:val="32"/>
        </w:rPr>
      </w:pPr>
      <w:r>
        <w:rPr>
          <w:rFonts w:hint="eastAsia" w:ascii="仿宋_GB2312" w:hAnsi="Times New Roman" w:eastAsia="仿宋_GB2312"/>
          <w:sz w:val="32"/>
          <w:szCs w:val="32"/>
        </w:rPr>
        <w:t>3.6提交信息 操作成功确认</w:t>
      </w:r>
    </w:p>
    <w:p>
      <w:pPr>
        <w:pStyle w:val="18"/>
        <w:spacing w:line="560" w:lineRule="exact"/>
        <w:ind w:firstLine="640"/>
        <w:rPr>
          <w:rFonts w:ascii="仿宋_GB2312" w:hAnsi="Times New Roman" w:eastAsia="仿宋_GB2312"/>
          <w:sz w:val="32"/>
          <w:szCs w:val="32"/>
        </w:rPr>
      </w:pPr>
      <w:r>
        <w:rPr>
          <w:rFonts w:hint="eastAsia" w:ascii="仿宋_GB2312" w:hAnsi="Times New Roman" w:eastAsia="仿宋_GB2312"/>
          <w:sz w:val="32"/>
          <w:szCs w:val="32"/>
        </w:rPr>
        <w:t>3.7状态查询</w:t>
      </w:r>
    </w:p>
    <w:p>
      <w:pPr>
        <w:pStyle w:val="18"/>
        <w:spacing w:line="560" w:lineRule="exact"/>
        <w:ind w:firstLine="640"/>
        <w:rPr>
          <w:rFonts w:ascii="仿宋_GB2312" w:hAnsi="Times New Roman" w:eastAsia="仿宋_GB2312"/>
          <w:sz w:val="32"/>
          <w:szCs w:val="32"/>
        </w:rPr>
      </w:pPr>
      <w:r>
        <w:rPr>
          <w:rFonts w:hint="eastAsia" w:ascii="仿宋_GB2312" w:hAnsi="Times New Roman" w:eastAsia="仿宋_GB2312"/>
          <w:sz w:val="32"/>
          <w:szCs w:val="32"/>
        </w:rPr>
        <w:t>提交成功后可通过系统查询确认结果。确认通过的“两员”可依据从业资格证书中明确签注的运输类型和种类范围依法为其所在单位从事危险货物申报和集装箱现场检查工作。确认未通过的，需重新报送。</w:t>
      </w:r>
    </w:p>
    <w:p>
      <w:pPr>
        <w:spacing w:line="560" w:lineRule="exact"/>
        <w:ind w:firstLine="640" w:firstLineChars="200"/>
        <w:rPr>
          <w:rFonts w:hint="eastAsia"/>
          <w:sz w:val="32"/>
          <w:szCs w:val="32"/>
        </w:rPr>
      </w:pPr>
      <w:r>
        <w:rPr>
          <w:rFonts w:hint="eastAsia" w:ascii="仿宋_GB2312" w:hAnsi="Times New Roman" w:eastAsia="仿宋_GB2312"/>
          <w:sz w:val="32"/>
          <w:szCs w:val="32"/>
        </w:rPr>
        <w:t>注意：“两员”不在其从业单位任职的，从业单位应通过海事一网通办平台及时做好解聘工作</w:t>
      </w:r>
    </w:p>
    <w:p>
      <w:pPr>
        <w:widowControl/>
        <w:spacing w:line="560" w:lineRule="exact"/>
        <w:ind w:left="600"/>
        <w:rPr>
          <w:rFonts w:hint="eastAsia" w:ascii="楷体_GB2312" w:eastAsia="楷体_GB2312"/>
          <w:sz w:val="30"/>
          <w:szCs w:val="30"/>
        </w:rPr>
      </w:pPr>
    </w:p>
    <w:sectPr>
      <w:footerReference r:id="rId7"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A9D4F02-B86E-453B-B86F-A4AD72C25740}"/>
  </w:font>
  <w:font w:name="Arial">
    <w:panose1 w:val="020B0604020202020204"/>
    <w:charset w:val="01"/>
    <w:family w:val="swiss"/>
    <w:pitch w:val="default"/>
    <w:sig w:usb0="E0002AFF" w:usb1="C0007843" w:usb2="00000009" w:usb3="00000000" w:csb0="400001FF" w:csb1="FFFF0000"/>
    <w:embedRegular r:id="rId2" w:fontKey="{3B64224D-C8CD-4549-9EE1-CC58D8549E39}"/>
  </w:font>
  <w:font w:name="黑体">
    <w:panose1 w:val="02010609060101010101"/>
    <w:charset w:val="86"/>
    <w:family w:val="auto"/>
    <w:pitch w:val="default"/>
    <w:sig w:usb0="800002BF" w:usb1="38CF7CFA" w:usb2="00000016" w:usb3="00000000" w:csb0="00040001" w:csb1="00000000"/>
    <w:embedRegular r:id="rId3" w:fontKey="{217A831A-A7D2-4A91-850A-4429708AC578}"/>
  </w:font>
  <w:font w:name="Courier New">
    <w:panose1 w:val="02070309020205020404"/>
    <w:charset w:val="01"/>
    <w:family w:val="modern"/>
    <w:pitch w:val="default"/>
    <w:sig w:usb0="E0002AFF" w:usb1="C0007843" w:usb2="00000009" w:usb3="00000000" w:csb0="400001FF" w:csb1="FFFF0000"/>
    <w:embedRegular r:id="rId4" w:fontKey="{CDD65D49-E0E0-40F6-90CA-9CDC81578376}"/>
  </w:font>
  <w:font w:name="Symbol">
    <w:panose1 w:val="05050102010706020507"/>
    <w:charset w:val="02"/>
    <w:family w:val="roman"/>
    <w:pitch w:val="default"/>
    <w:sig w:usb0="00000000" w:usb1="00000000" w:usb2="00000000" w:usb3="00000000" w:csb0="80000000" w:csb1="00000000"/>
    <w:embedRegular r:id="rId5" w:fontKey="{27D2C3B5-6DD8-44DC-87B1-8E3B65BDE191}"/>
  </w:font>
  <w:font w:name="Calibri">
    <w:panose1 w:val="020F0502020204030204"/>
    <w:charset w:val="00"/>
    <w:family w:val="swiss"/>
    <w:pitch w:val="default"/>
    <w:sig w:usb0="E00002FF" w:usb1="4000ACFF" w:usb2="00000001" w:usb3="00000000" w:csb0="2000019F" w:csb1="00000000"/>
    <w:embedRegular r:id="rId6" w:fontKey="{0845BFB3-AFB2-4D4B-9358-AD8D1F033058}"/>
  </w:font>
  <w:font w:name="等线">
    <w:altName w:val="微软雅黑"/>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embedRegular r:id="rId7" w:fontKey="{4ABBB535-C893-433E-B1F4-4B76F1523456}"/>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embedRegular r:id="rId8" w:fontKey="{D8FBBEE2-7C57-4871-AFAA-B99A7F5E2471}"/>
  </w:font>
  <w:font w:name="仿宋_GB2312">
    <w:panose1 w:val="02010609030101010101"/>
    <w:charset w:val="86"/>
    <w:family w:val="modern"/>
    <w:pitch w:val="default"/>
    <w:sig w:usb0="00000001" w:usb1="080E0000" w:usb2="00000000" w:usb3="00000000" w:csb0="00040000" w:csb1="00000000"/>
    <w:embedRegular r:id="rId9" w:fontKey="{D369491B-9249-4DDD-8D9A-91636A70651F}"/>
  </w:font>
  <w:font w:name="楷体_GB2312">
    <w:panose1 w:val="02010609030101010101"/>
    <w:charset w:val="86"/>
    <w:family w:val="modern"/>
    <w:pitch w:val="default"/>
    <w:sig w:usb0="00000001" w:usb1="080E0000" w:usb2="00000000" w:usb3="00000000" w:csb0="00040000" w:csb1="00000000"/>
    <w:embedRegular r:id="rId10" w:fontKey="{03EE53B2-BCA9-4550-9099-C514D04EAC8C}"/>
  </w:font>
  <w:font w:name="方正仿宋_GB2312">
    <w:altName w:val="微软雅黑"/>
    <w:panose1 w:val="00000000000000000000"/>
    <w:charset w:val="86"/>
    <w:family w:val="auto"/>
    <w:pitch w:val="default"/>
    <w:sig w:usb0="00000000" w:usb1="00000000" w:usb2="00000012" w:usb3="00000000" w:csb0="00040001" w:csb1="00000000"/>
    <w:embedRegular r:id="rId11" w:fontKey="{50DB1827-744A-4716-8C40-215FAD132E7B}"/>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2" w:fontKey="{75B2B4BD-485F-4955-A9BE-B4468080C5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9091"/>
      <w:rPr>
        <w:rFonts w:hint="eastAsia" w:ascii="宋体" w:hAnsi="宋体" w:eastAsia="宋体" w:cs="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w:t>
                    </w:r>
                    <w:r>
                      <w:fldChar w:fldCharType="end"/>
                    </w:r>
                  </w:p>
                </w:txbxContent>
              </v:textbox>
            </v:shape>
          </w:pict>
        </mc:Fallback>
      </mc:AlternateContent>
    </w:r>
    <w:r>
      <w:rPr>
        <w:rFonts w:ascii="宋体" w:hAnsi="宋体" w:eastAsia="宋体" w:cs="宋体"/>
        <w:sz w:val="18"/>
        <w:szCs w:val="18"/>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rFonts w:hint="eastAsia" w:ascii="微软雅黑" w:hAnsi="微软雅黑" w:eastAsia="微软雅黑" w:cs="微软雅黑"/>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rFonts w:hint="eastAsia" w:ascii="微软雅黑" w:hAnsi="微软雅黑" w:eastAsia="微软雅黑" w:cs="微软雅黑"/>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8"/>
        <w:rPr>
          <w:rFonts w:hint="eastAsia"/>
        </w:rPr>
      </w:pPr>
      <w:r>
        <w:rPr>
          <w:rStyle w:val="12"/>
          <w:rFonts w:hint="eastAsia"/>
        </w:rPr>
        <w:footnoteRef/>
      </w:r>
      <w:r>
        <w:rPr>
          <w:rFonts w:hint="eastAsia"/>
        </w:rPr>
        <w:t xml:space="preserve"> 包件内同时含有装在设备中和与设备包装在一起的锂离子电池，应分类为“UN3481与设备包装在一起的锂离子电池”。</w:t>
      </w:r>
    </w:p>
  </w:footnote>
  <w:footnote w:id="1">
    <w:p>
      <w:pPr>
        <w:pStyle w:val="8"/>
        <w:rPr>
          <w:rFonts w:hint="eastAsia"/>
        </w:rPr>
      </w:pPr>
      <w:r>
        <w:rPr>
          <w:rStyle w:val="12"/>
          <w:rFonts w:hint="eastAsia"/>
        </w:rPr>
        <w:footnoteRef/>
      </w:r>
      <w:r>
        <w:rPr>
          <w:rFonts w:hint="eastAsia"/>
        </w:rPr>
        <w:t xml:space="preserve"> 包件内同时含有装在设备中和与设备包装在一起的锂金属电池，应分类为“UN3091与设备包装在一起的锂金属电池”。</w:t>
      </w:r>
    </w:p>
  </w:footnote>
  <w:footnote w:id="2">
    <w:p>
      <w:pPr>
        <w:pStyle w:val="8"/>
        <w:rPr>
          <w:rFonts w:hint="eastAsia"/>
        </w:rPr>
      </w:pPr>
      <w:r>
        <w:rPr>
          <w:rStyle w:val="12"/>
          <w:rFonts w:hint="eastAsia"/>
        </w:rPr>
        <w:footnoteRef/>
      </w:r>
      <w:r>
        <w:rPr>
          <w:rFonts w:hint="eastAsia"/>
        </w:rPr>
        <w:t xml:space="preserve"> 安装在货物运输组件内，且仅设计用于向货物运输组件外部提供动力的锂离子电池、锂金属电池或同时包含锂离子电池和含有机电解质的钠离子电池的混合电池，应分类为UN 3536。货物运输组件内正常安全操作所必需的危险货物（如灭火系统和空调系统）不必分类。</w:t>
      </w:r>
    </w:p>
  </w:footnote>
  <w:footnote w:id="3">
    <w:p>
      <w:pPr>
        <w:pStyle w:val="8"/>
        <w:rPr>
          <w:rFonts w:hint="eastAsia"/>
        </w:rPr>
      </w:pPr>
      <w:r>
        <w:rPr>
          <w:rStyle w:val="12"/>
          <w:rFonts w:hint="eastAsia"/>
        </w:rPr>
        <w:footnoteRef/>
      </w:r>
      <w:r>
        <w:rPr>
          <w:rFonts w:hint="eastAsia"/>
        </w:rPr>
        <w:t xml:space="preserve"> 装箱检查员从业资格考试由交通运输部海事局统一组织安排，一般一年1-2次，考试安排会在浙江海事局微信公众号公布。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C6C"/>
    <w:multiLevelType w:val="multilevel"/>
    <w:tmpl w:val="02162C6C"/>
    <w:lvl w:ilvl="0" w:tentative="0">
      <w:start w:val="1"/>
      <w:numFmt w:val="decimal"/>
      <w:lvlText w:val="%1."/>
      <w:lvlJc w:val="left"/>
      <w:pPr>
        <w:ind w:left="398" w:hanging="398"/>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FlZGJmYzlmMjk5ZjM1ZTY3MTUzNGJlNzc5YjI5MmIifQ=="/>
  </w:docVars>
  <w:rsids>
    <w:rsidRoot w:val="006F2B15"/>
    <w:rsid w:val="00004774"/>
    <w:rsid w:val="00016229"/>
    <w:rsid w:val="00024E4E"/>
    <w:rsid w:val="000378DB"/>
    <w:rsid w:val="000464E0"/>
    <w:rsid w:val="0004799D"/>
    <w:rsid w:val="00075073"/>
    <w:rsid w:val="00087A33"/>
    <w:rsid w:val="0009463F"/>
    <w:rsid w:val="000A0C6C"/>
    <w:rsid w:val="000B5B07"/>
    <w:rsid w:val="000B6844"/>
    <w:rsid w:val="000C3E25"/>
    <w:rsid w:val="000E223B"/>
    <w:rsid w:val="000E2D47"/>
    <w:rsid w:val="00103FCA"/>
    <w:rsid w:val="0010542A"/>
    <w:rsid w:val="00105D74"/>
    <w:rsid w:val="0017791D"/>
    <w:rsid w:val="001A01E0"/>
    <w:rsid w:val="001A0DDB"/>
    <w:rsid w:val="001B6D40"/>
    <w:rsid w:val="001C13D8"/>
    <w:rsid w:val="001D5973"/>
    <w:rsid w:val="001D6C29"/>
    <w:rsid w:val="001E3F6C"/>
    <w:rsid w:val="001E415F"/>
    <w:rsid w:val="001E634C"/>
    <w:rsid w:val="0020740C"/>
    <w:rsid w:val="002158F6"/>
    <w:rsid w:val="002363D5"/>
    <w:rsid w:val="00243865"/>
    <w:rsid w:val="00245B58"/>
    <w:rsid w:val="00264ED2"/>
    <w:rsid w:val="002654B7"/>
    <w:rsid w:val="002736E8"/>
    <w:rsid w:val="00273C2D"/>
    <w:rsid w:val="00280B85"/>
    <w:rsid w:val="002906FC"/>
    <w:rsid w:val="002B6EA0"/>
    <w:rsid w:val="00312660"/>
    <w:rsid w:val="003274EC"/>
    <w:rsid w:val="003315DA"/>
    <w:rsid w:val="00342564"/>
    <w:rsid w:val="00352BF4"/>
    <w:rsid w:val="003530DB"/>
    <w:rsid w:val="003561DC"/>
    <w:rsid w:val="00362FD6"/>
    <w:rsid w:val="0037052D"/>
    <w:rsid w:val="003819E6"/>
    <w:rsid w:val="003B2D2A"/>
    <w:rsid w:val="003E7287"/>
    <w:rsid w:val="003F58D8"/>
    <w:rsid w:val="004027AB"/>
    <w:rsid w:val="00402C87"/>
    <w:rsid w:val="00420D40"/>
    <w:rsid w:val="004252DF"/>
    <w:rsid w:val="004258F3"/>
    <w:rsid w:val="00427CA7"/>
    <w:rsid w:val="00441EF3"/>
    <w:rsid w:val="004509C5"/>
    <w:rsid w:val="00456ADE"/>
    <w:rsid w:val="0046058D"/>
    <w:rsid w:val="00474B26"/>
    <w:rsid w:val="00475A99"/>
    <w:rsid w:val="0049194C"/>
    <w:rsid w:val="004A198B"/>
    <w:rsid w:val="004B3C45"/>
    <w:rsid w:val="004C13A9"/>
    <w:rsid w:val="004C4E0C"/>
    <w:rsid w:val="004C66F7"/>
    <w:rsid w:val="004D593B"/>
    <w:rsid w:val="004D7E93"/>
    <w:rsid w:val="004F015A"/>
    <w:rsid w:val="004F3E91"/>
    <w:rsid w:val="0050392F"/>
    <w:rsid w:val="00507361"/>
    <w:rsid w:val="00516562"/>
    <w:rsid w:val="00520E6B"/>
    <w:rsid w:val="00531E5F"/>
    <w:rsid w:val="00566018"/>
    <w:rsid w:val="00570DC2"/>
    <w:rsid w:val="00573F18"/>
    <w:rsid w:val="005759D0"/>
    <w:rsid w:val="00583397"/>
    <w:rsid w:val="005B33F4"/>
    <w:rsid w:val="005D5229"/>
    <w:rsid w:val="005E5BCD"/>
    <w:rsid w:val="005F77C7"/>
    <w:rsid w:val="0060216F"/>
    <w:rsid w:val="006171F1"/>
    <w:rsid w:val="00626D96"/>
    <w:rsid w:val="00634A7C"/>
    <w:rsid w:val="006435B0"/>
    <w:rsid w:val="0064541C"/>
    <w:rsid w:val="006537E5"/>
    <w:rsid w:val="00656D8F"/>
    <w:rsid w:val="0069740B"/>
    <w:rsid w:val="006A629E"/>
    <w:rsid w:val="006B47B7"/>
    <w:rsid w:val="006C0C28"/>
    <w:rsid w:val="006E6851"/>
    <w:rsid w:val="006F2B15"/>
    <w:rsid w:val="007071B5"/>
    <w:rsid w:val="00712EA8"/>
    <w:rsid w:val="00737C39"/>
    <w:rsid w:val="007442C0"/>
    <w:rsid w:val="00760639"/>
    <w:rsid w:val="007772BE"/>
    <w:rsid w:val="00791838"/>
    <w:rsid w:val="007A15D5"/>
    <w:rsid w:val="007B3AB6"/>
    <w:rsid w:val="007D1B24"/>
    <w:rsid w:val="007D26FB"/>
    <w:rsid w:val="007D5C80"/>
    <w:rsid w:val="007D736E"/>
    <w:rsid w:val="007E7788"/>
    <w:rsid w:val="0080750E"/>
    <w:rsid w:val="00822574"/>
    <w:rsid w:val="00834D55"/>
    <w:rsid w:val="008363DF"/>
    <w:rsid w:val="00860F2D"/>
    <w:rsid w:val="0087042F"/>
    <w:rsid w:val="00891303"/>
    <w:rsid w:val="008945DD"/>
    <w:rsid w:val="008B06F2"/>
    <w:rsid w:val="008B545E"/>
    <w:rsid w:val="008E56F7"/>
    <w:rsid w:val="008F7F76"/>
    <w:rsid w:val="00906BF0"/>
    <w:rsid w:val="009079C9"/>
    <w:rsid w:val="0091208A"/>
    <w:rsid w:val="00914642"/>
    <w:rsid w:val="00947A48"/>
    <w:rsid w:val="00957334"/>
    <w:rsid w:val="009B08FA"/>
    <w:rsid w:val="009D65E0"/>
    <w:rsid w:val="00A037CA"/>
    <w:rsid w:val="00A05B9C"/>
    <w:rsid w:val="00A14E22"/>
    <w:rsid w:val="00A541F5"/>
    <w:rsid w:val="00A875A8"/>
    <w:rsid w:val="00A92C4B"/>
    <w:rsid w:val="00AB09C1"/>
    <w:rsid w:val="00AB746D"/>
    <w:rsid w:val="00AC5B07"/>
    <w:rsid w:val="00AD6AB6"/>
    <w:rsid w:val="00B02EF5"/>
    <w:rsid w:val="00B51BC1"/>
    <w:rsid w:val="00B56189"/>
    <w:rsid w:val="00B80A4C"/>
    <w:rsid w:val="00B911AC"/>
    <w:rsid w:val="00BA0286"/>
    <w:rsid w:val="00C267DD"/>
    <w:rsid w:val="00C4412C"/>
    <w:rsid w:val="00C5311B"/>
    <w:rsid w:val="00C6046A"/>
    <w:rsid w:val="00C60EB9"/>
    <w:rsid w:val="00C84D58"/>
    <w:rsid w:val="00C930D7"/>
    <w:rsid w:val="00CA1458"/>
    <w:rsid w:val="00CA6140"/>
    <w:rsid w:val="00CA759F"/>
    <w:rsid w:val="00CB01A0"/>
    <w:rsid w:val="00CC03E5"/>
    <w:rsid w:val="00CD51E7"/>
    <w:rsid w:val="00CD6298"/>
    <w:rsid w:val="00CE0B9E"/>
    <w:rsid w:val="00CF6C58"/>
    <w:rsid w:val="00D14962"/>
    <w:rsid w:val="00D32B9E"/>
    <w:rsid w:val="00D363AC"/>
    <w:rsid w:val="00D62CCF"/>
    <w:rsid w:val="00D73C1F"/>
    <w:rsid w:val="00D74F65"/>
    <w:rsid w:val="00DA3BBB"/>
    <w:rsid w:val="00DA4C3B"/>
    <w:rsid w:val="00DB17A4"/>
    <w:rsid w:val="00DB72D7"/>
    <w:rsid w:val="00DD1B6D"/>
    <w:rsid w:val="00DD7BA8"/>
    <w:rsid w:val="00DF7DEA"/>
    <w:rsid w:val="00E37BC9"/>
    <w:rsid w:val="00E449F8"/>
    <w:rsid w:val="00E506C5"/>
    <w:rsid w:val="00E62AF3"/>
    <w:rsid w:val="00E75294"/>
    <w:rsid w:val="00EA4461"/>
    <w:rsid w:val="00EB6B76"/>
    <w:rsid w:val="00EC40DB"/>
    <w:rsid w:val="00ED0235"/>
    <w:rsid w:val="00EE38FA"/>
    <w:rsid w:val="00EE62F9"/>
    <w:rsid w:val="00F01629"/>
    <w:rsid w:val="00F11076"/>
    <w:rsid w:val="00F1322C"/>
    <w:rsid w:val="00F178D9"/>
    <w:rsid w:val="00F26D7E"/>
    <w:rsid w:val="00F310F2"/>
    <w:rsid w:val="00F31E31"/>
    <w:rsid w:val="00F70EE2"/>
    <w:rsid w:val="00F70F74"/>
    <w:rsid w:val="00F93695"/>
    <w:rsid w:val="00FE7EAE"/>
    <w:rsid w:val="0902373B"/>
    <w:rsid w:val="2657495B"/>
    <w:rsid w:val="3ABFB856"/>
    <w:rsid w:val="72F425BF"/>
    <w:rsid w:val="73D16E5C"/>
    <w:rsid w:val="7B71F611"/>
    <w:rsid w:val="CFFC5CAA"/>
    <w:rsid w:val="FFFBA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5"/>
    <w:qFormat/>
    <w:uiPriority w:val="0"/>
    <w:pPr>
      <w:spacing w:line="560" w:lineRule="exact"/>
      <w:jc w:val="center"/>
      <w:outlineLvl w:val="0"/>
    </w:pPr>
    <w:rPr>
      <w:rFonts w:ascii="方正小标宋简体" w:eastAsia="方正小标宋简体"/>
      <w:sz w:val="44"/>
      <w:szCs w:val="44"/>
      <w14:ligatures w14:val="none"/>
    </w:rPr>
  </w:style>
  <w:style w:type="paragraph" w:styleId="3">
    <w:name w:val="heading 2"/>
    <w:basedOn w:val="1"/>
    <w:next w:val="1"/>
    <w:link w:val="1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4">
    <w:name w:val="caption"/>
    <w:basedOn w:val="1"/>
    <w:next w:val="1"/>
    <w:semiHidden/>
    <w:unhideWhenUsed/>
    <w:qFormat/>
    <w:uiPriority w:val="0"/>
    <w:rPr>
      <w:rFonts w:ascii="Arial" w:hAnsi="Arial" w:eastAsia="黑体"/>
      <w:sz w:val="20"/>
    </w:rPr>
  </w:style>
  <w:style w:type="paragraph" w:styleId="5">
    <w:name w:val="Body Text"/>
    <w:basedOn w:val="1"/>
    <w:link w:val="21"/>
    <w:semiHidden/>
    <w:qFormat/>
    <w:uiPriority w:val="0"/>
    <w:pPr>
      <w:widowControl/>
      <w:kinsoku w:val="0"/>
      <w:autoSpaceDE w:val="0"/>
      <w:autoSpaceDN w:val="0"/>
      <w:adjustRightInd w:val="0"/>
      <w:snapToGrid w:val="0"/>
      <w:jc w:val="left"/>
      <w:textAlignment w:val="baseline"/>
    </w:pPr>
    <w:rPr>
      <w:rFonts w:ascii="黑体" w:hAnsi="黑体" w:eastAsia="黑体" w:cs="黑体"/>
      <w:snapToGrid w:val="0"/>
      <w:color w:val="000000"/>
      <w:kern w:val="0"/>
      <w:sz w:val="28"/>
      <w:szCs w:val="28"/>
      <w:lang w:eastAsia="en-US"/>
      <w14:ligatures w14:val="none"/>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tabs>
        <w:tab w:val="center" w:pos="4153"/>
        <w:tab w:val="right" w:pos="8306"/>
      </w:tabs>
      <w:snapToGrid w:val="0"/>
      <w:jc w:val="center"/>
    </w:pPr>
    <w:rPr>
      <w:sz w:val="18"/>
      <w:szCs w:val="18"/>
    </w:rPr>
  </w:style>
  <w:style w:type="paragraph" w:styleId="8">
    <w:name w:val="footnote text"/>
    <w:basedOn w:val="1"/>
    <w:link w:val="23"/>
    <w:semiHidden/>
    <w:unhideWhenUsed/>
    <w:qFormat/>
    <w:uiPriority w:val="99"/>
    <w:pPr>
      <w:snapToGrid w:val="0"/>
      <w:jc w:val="left"/>
    </w:pPr>
    <w:rPr>
      <w:sz w:val="18"/>
      <w:szCs w:val="18"/>
    </w:rPr>
  </w:style>
  <w:style w:type="table" w:styleId="10">
    <w:name w:val="Table Grid"/>
    <w:basedOn w:val="9"/>
    <w:qFormat/>
    <w:uiPriority w:val="59"/>
    <w:rPr>
      <w:rFonts w:ascii="宋体" w:hAnsi="Times New Roman" w:eastAsia="宋体" w:cs="Times New Roman"/>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12">
    <w:name w:val="footnote reference"/>
    <w:basedOn w:val="11"/>
    <w:semiHidden/>
    <w:unhideWhenUsed/>
    <w:qFormat/>
    <w:uiPriority w:val="99"/>
    <w:rPr>
      <w:vertAlign w:val="superscript"/>
    </w:rPr>
  </w:style>
  <w:style w:type="character" w:customStyle="1" w:styleId="13">
    <w:name w:val="页眉 字符"/>
    <w:basedOn w:val="11"/>
    <w:link w:val="7"/>
    <w:qFormat/>
    <w:uiPriority w:val="99"/>
    <w:rPr>
      <w:sz w:val="18"/>
      <w:szCs w:val="18"/>
    </w:rPr>
  </w:style>
  <w:style w:type="character" w:customStyle="1" w:styleId="14">
    <w:name w:val="页脚 字符"/>
    <w:basedOn w:val="11"/>
    <w:link w:val="6"/>
    <w:qFormat/>
    <w:uiPriority w:val="99"/>
    <w:rPr>
      <w:sz w:val="18"/>
      <w:szCs w:val="18"/>
    </w:rPr>
  </w:style>
  <w:style w:type="character" w:customStyle="1" w:styleId="15">
    <w:name w:val="标题 1 字符"/>
    <w:basedOn w:val="11"/>
    <w:link w:val="2"/>
    <w:qFormat/>
    <w:uiPriority w:val="0"/>
    <w:rPr>
      <w:rFonts w:ascii="方正小标宋简体" w:eastAsia="方正小标宋简体"/>
      <w:kern w:val="2"/>
      <w:sz w:val="44"/>
      <w:szCs w:val="44"/>
    </w:rPr>
  </w:style>
  <w:style w:type="character" w:customStyle="1" w:styleId="16">
    <w:name w:val="标题 2 字符"/>
    <w:basedOn w:val="11"/>
    <w:link w:val="3"/>
    <w:semiHidden/>
    <w:qFormat/>
    <w:uiPriority w:val="9"/>
    <w:rPr>
      <w:rFonts w:asciiTheme="majorHAnsi" w:hAnsiTheme="majorHAnsi" w:eastAsiaTheme="majorEastAsia" w:cstheme="majorBidi"/>
      <w:b/>
      <w:bCs/>
      <w:sz w:val="32"/>
      <w:szCs w:val="32"/>
    </w:rPr>
  </w:style>
  <w:style w:type="paragraph" w:customStyle="1" w:styleId="1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18">
    <w:name w:val="List Paragraph"/>
    <w:basedOn w:val="1"/>
    <w:qFormat/>
    <w:uiPriority w:val="34"/>
    <w:pPr>
      <w:ind w:firstLine="420" w:firstLineChars="200"/>
    </w:pPr>
  </w:style>
  <w:style w:type="table" w:customStyle="1" w:styleId="19">
    <w:name w:val="Table Normal"/>
    <w:semiHidden/>
    <w:unhideWhenUsed/>
    <w:qFormat/>
    <w:uiPriority w:val="0"/>
    <w:rPr>
      <w:rFonts w:ascii="Arial" w:hAnsi="Arial" w:cs="Arial"/>
    </w:rPr>
    <w:tblPr>
      <w:tblLayout w:type="fixed"/>
      <w:tblCellMar>
        <w:top w:w="0" w:type="dxa"/>
        <w:left w:w="0" w:type="dxa"/>
        <w:bottom w:w="0" w:type="dxa"/>
        <w:right w:w="0" w:type="dxa"/>
      </w:tblCellMar>
    </w:tblPr>
  </w:style>
  <w:style w:type="paragraph" w:customStyle="1" w:styleId="20">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18"/>
      <w:szCs w:val="18"/>
      <w:lang w:eastAsia="en-US"/>
      <w14:ligatures w14:val="none"/>
    </w:rPr>
  </w:style>
  <w:style w:type="character" w:customStyle="1" w:styleId="21">
    <w:name w:val="正文文本 字符"/>
    <w:basedOn w:val="11"/>
    <w:link w:val="5"/>
    <w:semiHidden/>
    <w:qFormat/>
    <w:uiPriority w:val="0"/>
    <w:rPr>
      <w:rFonts w:ascii="黑体" w:hAnsi="黑体" w:eastAsia="黑体" w:cs="黑体"/>
      <w:snapToGrid w:val="0"/>
      <w:color w:val="000000"/>
      <w:kern w:val="0"/>
      <w:sz w:val="28"/>
      <w:szCs w:val="28"/>
      <w:lang w:eastAsia="en-US"/>
      <w14:ligatures w14:val="none"/>
    </w:rPr>
  </w:style>
  <w:style w:type="paragraph" w:customStyle="1" w:styleId="22">
    <w:name w:val="修订1"/>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23">
    <w:name w:val="脚注文本 字符"/>
    <w:basedOn w:val="11"/>
    <w:link w:val="8"/>
    <w:semiHidden/>
    <w:qFormat/>
    <w:uiPriority w:val="99"/>
    <w:rPr>
      <w:kern w:val="2"/>
      <w:sz w:val="18"/>
      <w:szCs w:val="18"/>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12662</Words>
  <Characters>14470</Characters>
  <Lines>112</Lines>
  <Paragraphs>31</Paragraphs>
  <TotalTime>158</TotalTime>
  <ScaleCrop>false</ScaleCrop>
  <LinksUpToDate>false</LinksUpToDate>
  <CharactersWithSpaces>14681</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2024-09-06T03:33:00Z</dcterms:created>
  <dc:creator>leilei xia</dc:creator>
  <cp:lastModifiedBy>Administrator</cp:lastModifiedBy>
  <dcterms:modified xsi:type="dcterms:W3CDTF">2025-01-26T02:28:59Z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ICV">
    <vt:lpwstr>EDA2756752E75B14A72CD866EE6A5610_42</vt:lpwstr>
  </property>
</Properties>
</file>