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bCs/>
          <w:sz w:val="44"/>
          <w:szCs w:val="44"/>
        </w:rPr>
      </w:pPr>
      <w:r>
        <w:rPr>
          <w:rFonts w:ascii="宋体" w:hAnsi="宋体"/>
          <w:b/>
          <w:bCs/>
          <w:sz w:val="36"/>
          <w:szCs w:val="36"/>
        </w:rPr>
        <w:tab/>
      </w:r>
      <w:r>
        <w:rPr>
          <w:rFonts w:hint="eastAsia" w:ascii="方正小标宋简体" w:hAnsi="宋体" w:eastAsia="方正小标宋简体"/>
          <w:bCs/>
          <w:sz w:val="44"/>
          <w:szCs w:val="44"/>
        </w:rPr>
        <w:t>台州海事局辖区水上防台管理规定</w:t>
      </w:r>
    </w:p>
    <w:p>
      <w:pPr>
        <w:spacing w:line="580" w:lineRule="exact"/>
        <w:ind w:firstLine="720" w:firstLineChars="200"/>
        <w:jc w:val="center"/>
        <w:rPr>
          <w:rFonts w:ascii="楷体_GB2312" w:hAnsi="宋体" w:eastAsia="楷体_GB2312"/>
          <w:bCs/>
          <w:sz w:val="36"/>
          <w:szCs w:val="36"/>
        </w:rPr>
      </w:pPr>
      <w:r>
        <w:rPr>
          <w:rFonts w:hint="eastAsia" w:ascii="楷体_GB2312" w:hAnsi="宋体" w:eastAsia="楷体_GB2312"/>
          <w:bCs/>
          <w:sz w:val="36"/>
          <w:szCs w:val="36"/>
        </w:rPr>
        <w:t xml:space="preserve">（修订版 </w:t>
      </w:r>
      <w:r>
        <w:rPr>
          <w:rFonts w:ascii="楷体_GB2312" w:hAnsi="宋体" w:eastAsia="楷体_GB2312"/>
          <w:bCs/>
          <w:sz w:val="36"/>
          <w:szCs w:val="36"/>
        </w:rPr>
        <w:t>2025</w:t>
      </w:r>
      <w:r>
        <w:rPr>
          <w:rFonts w:hint="eastAsia" w:ascii="楷体_GB2312" w:hAnsi="宋体" w:eastAsia="楷体_GB2312"/>
          <w:bCs/>
          <w:sz w:val="36"/>
          <w:szCs w:val="36"/>
        </w:rPr>
        <w:t>年4月2</w:t>
      </w:r>
      <w:r>
        <w:rPr>
          <w:rFonts w:ascii="楷体_GB2312" w:hAnsi="宋体" w:eastAsia="楷体_GB2312"/>
          <w:bCs/>
          <w:sz w:val="36"/>
          <w:szCs w:val="36"/>
        </w:rPr>
        <w:t>1</w:t>
      </w:r>
      <w:r>
        <w:rPr>
          <w:rFonts w:hint="eastAsia" w:ascii="楷体_GB2312" w:hAnsi="宋体" w:eastAsia="楷体_GB2312"/>
          <w:bCs/>
          <w:sz w:val="36"/>
          <w:szCs w:val="36"/>
        </w:rPr>
        <w:t>日）</w:t>
      </w:r>
    </w:p>
    <w:p>
      <w:pPr>
        <w:spacing w:line="580" w:lineRule="exact"/>
        <w:rPr>
          <w:rFonts w:ascii="宋体" w:hAnsi="宋体"/>
          <w:b/>
          <w:bCs/>
          <w:sz w:val="36"/>
          <w:szCs w:val="36"/>
        </w:rPr>
      </w:pPr>
    </w:p>
    <w:p>
      <w:pPr>
        <w:spacing w:line="576"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为加强台风季节的水上安全监督管理，</w:t>
      </w:r>
      <w:r>
        <w:rPr>
          <w:rFonts w:hint="eastAsia" w:ascii="仿宋_GB2312" w:hAnsi="宋体" w:eastAsia="仿宋_GB2312" w:cs="宋体"/>
          <w:sz w:val="32"/>
          <w:szCs w:val="32"/>
        </w:rPr>
        <w:t>保障船舶、设施和人命财产的安全，</w:t>
      </w:r>
      <w:r>
        <w:rPr>
          <w:rFonts w:hint="eastAsia" w:ascii="仿宋_GB2312" w:hAnsi="宋体" w:eastAsia="仿宋_GB2312"/>
          <w:sz w:val="32"/>
          <w:szCs w:val="32"/>
        </w:rPr>
        <w:t>根据</w:t>
      </w:r>
      <w:r>
        <w:rPr>
          <w:rFonts w:hint="eastAsia" w:ascii="仿宋_GB2312" w:hAnsi="宋体" w:eastAsia="仿宋_GB2312" w:cs="宋体"/>
          <w:sz w:val="32"/>
          <w:szCs w:val="32"/>
        </w:rPr>
        <w:t>《中华人民共和国</w:t>
      </w:r>
      <w:r>
        <w:rPr>
          <w:rFonts w:hint="eastAsia" w:ascii="仿宋_GB2312" w:hAnsi="宋体" w:eastAsia="仿宋_GB2312"/>
          <w:sz w:val="32"/>
          <w:szCs w:val="32"/>
        </w:rPr>
        <w:t>安全生产法》、《中华人民共和国海上交通安全法》、《中华人民共和国内河交通安全管理条例》、《浙江省防汛抗台抗旱条例》等法律、法规，制定本规定。</w:t>
      </w:r>
    </w:p>
    <w:p>
      <w:pPr>
        <w:spacing w:line="576"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本规定适用于台州海事局辖区（以下简称“辖区”）水域内航行、停泊和作业的船舶、设施（以下统称“船舶”）及其所有人、经营人、管理人、代理人</w:t>
      </w:r>
      <w:r>
        <w:rPr>
          <w:rFonts w:hint="eastAsia" w:ascii="仿宋_GB2312" w:eastAsia="仿宋_GB2312"/>
          <w:sz w:val="32"/>
          <w:szCs w:val="32"/>
        </w:rPr>
        <w:t>、光船承租人</w:t>
      </w:r>
      <w:r>
        <w:rPr>
          <w:rFonts w:hint="eastAsia" w:ascii="仿宋_GB2312" w:hAnsi="宋体" w:eastAsia="仿宋_GB2312"/>
          <w:sz w:val="32"/>
          <w:szCs w:val="32"/>
        </w:rPr>
        <w:t>和码头单位、船舶修造单位、</w:t>
      </w:r>
      <w:r>
        <w:rPr>
          <w:rFonts w:hint="eastAsia" w:ascii="仿宋_GB2312" w:eastAsia="仿宋_GB2312"/>
          <w:sz w:val="32"/>
          <w:szCs w:val="32"/>
        </w:rPr>
        <w:t>船舶扣押单位</w:t>
      </w:r>
      <w:r>
        <w:rPr>
          <w:rFonts w:hint="eastAsia" w:ascii="仿宋_GB2312" w:hAnsi="宋体" w:eastAsia="仿宋_GB2312"/>
          <w:sz w:val="32"/>
          <w:szCs w:val="32"/>
        </w:rPr>
        <w:t>涉水工程的业主单位及施工单位、港口调度部门、引航部门等相关单位（以下统称“水上防台单位”）及人员。</w:t>
      </w:r>
    </w:p>
    <w:p>
      <w:pPr>
        <w:spacing w:line="576" w:lineRule="exact"/>
        <w:ind w:firstLine="643" w:firstLineChars="200"/>
        <w:rPr>
          <w:rFonts w:ascii="仿宋_GB2312" w:eastAsia="仿宋_GB2312"/>
          <w:sz w:val="32"/>
          <w:szCs w:val="32"/>
        </w:rPr>
      </w:pPr>
      <w:r>
        <w:rPr>
          <w:rFonts w:hint="eastAsia" w:ascii="仿宋_GB2312" w:hAnsi="宋体" w:eastAsia="仿宋_GB2312"/>
          <w:b/>
          <w:sz w:val="32"/>
          <w:szCs w:val="32"/>
        </w:rPr>
        <w:t>第三条</w:t>
      </w:r>
      <w:r>
        <w:rPr>
          <w:rFonts w:hint="eastAsia" w:ascii="仿宋_GB2312" w:hAnsi="宋体" w:eastAsia="仿宋_GB2312"/>
          <w:sz w:val="32"/>
          <w:szCs w:val="32"/>
        </w:rPr>
        <w:t xml:space="preserve">  中华人民共和国</w:t>
      </w:r>
      <w:r>
        <w:rPr>
          <w:rFonts w:hint="eastAsia" w:ascii="仿宋_GB2312" w:eastAsia="仿宋_GB2312"/>
          <w:sz w:val="32"/>
          <w:szCs w:val="32"/>
        </w:rPr>
        <w:t>台州海事局是实施本规定的主管机关。</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台州海事局所属各海事处具体负责各自辖区水上防台安全监督管理。</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台风季节来临前，水上防台单位应成立防台组织，结合主管机关及属地政府最新指南及要求，制定水上防台应急预案，并向当地海事处报告。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船舶防台风工作遵循“属地领导、安全第一、以防为主、防抗结合、科学有效”的基本原则，水上防台单位应于每年6月底前组织开展防台演练，确保相关船长、船员及岸基管理人员等能熟悉预案内容并正确执行。同时要做好以下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船舶所有人、经营人、管理人、光船承租人应组织船岸人员开展防台风专业知识培训、业务操作培训，并在台风季节来临前对所属（包括租赁）船舶的防台设备和属具等作一次全面检查，确保其处于良好工作状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（二）船舶修造单位应合理安排生产计划，尽可能减少或避免无动力船舶在台风季节进行水上舾装、修理作业，并将台风季节期间水上在建、在修船舶的情况和拟采取的防台措施向当地海事处报告。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（三）涉水工程业主或施工单位应根据施工作业特点，建立拟避风船舶清单，编制撤离方案，并向当地海事处报告。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（四）船舶扣押单位应及时将扣押船舶信息通报当地海事管理机构；保持扣押船舶AIS设备正常开启，AIS设备未安装或损毁的，须及时加装或安装其他有效定位设备。</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在台风季节，船舶和水上防台单位应及时收集当地气象部门的台风预报信息，并按照本规定和各自预案做好防台工作。</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ascii="仿宋_GB2312" w:eastAsia="仿宋_GB2312"/>
          <w:sz w:val="32"/>
          <w:szCs w:val="32"/>
        </w:rPr>
        <w:t xml:space="preserve">  </w:t>
      </w:r>
      <w:r>
        <w:rPr>
          <w:rFonts w:hint="eastAsia" w:ascii="仿宋_GB2312" w:eastAsia="仿宋_GB2312"/>
          <w:sz w:val="32"/>
          <w:szCs w:val="32"/>
        </w:rPr>
        <w:t>台州海事局辖区</w:t>
      </w:r>
      <w:r>
        <w:rPr>
          <w:rFonts w:hint="eastAsia" w:ascii="仿宋_GB2312" w:eastAsia="仿宋_GB2312"/>
          <w:spacing w:val="-4"/>
          <w:sz w:val="32"/>
          <w:szCs w:val="32"/>
        </w:rPr>
        <w:t>水上防台工作分为四个阶段，在满足下列各款所列条件时由主管机关决定和发布相应等级的水上防台应急响应</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Ⅳ级防台——防台戒备阶段</w:t>
      </w:r>
      <w:r>
        <w:rPr>
          <w:rFonts w:hint="eastAsia" w:ascii="仿宋_GB2312" w:eastAsia="仿宋_GB2312"/>
          <w:sz w:val="32"/>
          <w:szCs w:val="32"/>
        </w:rPr>
        <w:t>：当台风中心在72小时内可能进入防台界线以内水域，或虽台风中心未来不会进入防台界线以内水域，但根据台风动态分析，在未来72小时内台风将逐渐靠近防台界线；</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Ⅲ级防台——防台准备阶段</w:t>
      </w:r>
      <w:r>
        <w:rPr>
          <w:rFonts w:hint="eastAsia" w:ascii="仿宋_GB2312" w:eastAsia="仿宋_GB2312"/>
          <w:sz w:val="32"/>
          <w:szCs w:val="32"/>
        </w:rPr>
        <w:t>: 当台风中心在48小时内可能影响防台界线以内水域，或虽台风中心未来不会进入防台界线以内水域，但在未来48小时内防台界线以内水域平均风力达8级或以上时开始。</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宋体" w:eastAsia="仿宋_GB2312"/>
          <w:sz w:val="32"/>
          <w:szCs w:val="32"/>
        </w:rPr>
        <w:t>Ⅱ级防台——防台实施阶段</w:t>
      </w:r>
      <w:r>
        <w:rPr>
          <w:rFonts w:hint="eastAsia" w:ascii="仿宋_GB2312" w:eastAsia="仿宋_GB2312"/>
          <w:sz w:val="32"/>
          <w:szCs w:val="32"/>
        </w:rPr>
        <w:t>：</w:t>
      </w:r>
      <w:r>
        <w:rPr>
          <w:rFonts w:hint="eastAsia" w:ascii="仿宋_GB2312" w:hAnsi="宋体" w:eastAsia="仿宋_GB2312"/>
          <w:sz w:val="32"/>
          <w:szCs w:val="32"/>
        </w:rPr>
        <w:t>台风中心达10级及以上且24小时内可能进入防台界线以内水域</w:t>
      </w:r>
      <w:r>
        <w:rPr>
          <w:rFonts w:hint="eastAsia" w:ascii="仿宋_GB2312" w:eastAsia="仿宋_GB2312" w:cs="仿宋_GB2312"/>
          <w:sz w:val="32"/>
          <w:szCs w:val="32"/>
        </w:rPr>
        <w:t>，或虽台风中心未来不会进入防台界线以内水域，但在未来24小时防台界线以内水域平均风力达10级及以上时</w:t>
      </w:r>
      <w:r>
        <w:rPr>
          <w:rFonts w:hint="eastAsia" w:ascii="仿宋_GB2312" w:eastAsia="仿宋_GB2312"/>
          <w:sz w:val="32"/>
          <w:szCs w:val="32"/>
        </w:rPr>
        <w:t xml:space="preserve">。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hAnsi="宋体" w:eastAsia="仿宋_GB2312"/>
          <w:sz w:val="32"/>
          <w:szCs w:val="32"/>
        </w:rPr>
        <w:t>Ⅰ级防台——抗击台风阶段</w:t>
      </w:r>
      <w:r>
        <w:rPr>
          <w:rFonts w:hint="eastAsia" w:ascii="仿宋_GB2312" w:eastAsia="仿宋_GB2312"/>
          <w:sz w:val="32"/>
          <w:szCs w:val="32"/>
        </w:rPr>
        <w:t>：</w:t>
      </w:r>
      <w:r>
        <w:rPr>
          <w:rFonts w:hint="eastAsia" w:ascii="仿宋_GB2312" w:hAnsi="宋体" w:eastAsia="仿宋_GB2312"/>
          <w:sz w:val="32"/>
          <w:szCs w:val="32"/>
        </w:rPr>
        <w:t>台风中心达12级及以上且未来12小时内进入防台界线以内水域</w:t>
      </w:r>
      <w:r>
        <w:rPr>
          <w:rFonts w:hint="eastAsia" w:ascii="仿宋_GB2312" w:eastAsia="仿宋_GB2312" w:cs="仿宋_GB2312"/>
          <w:sz w:val="32"/>
          <w:szCs w:val="32"/>
        </w:rPr>
        <w:t>，或虽台风中心未来不会进入防台界线以内水域，但在未来12小时内防台界线以内水域平均风力达12级及以上时</w:t>
      </w:r>
      <w:r>
        <w:rPr>
          <w:rFonts w:hint="eastAsia" w:ascii="仿宋_GB2312" w:eastAsia="仿宋_GB2312"/>
          <w:sz w:val="32"/>
          <w:szCs w:val="32"/>
        </w:rPr>
        <w:t>。</w:t>
      </w:r>
    </w:p>
    <w:p>
      <w:pPr>
        <w:spacing w:line="576"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第七条</w:t>
      </w:r>
      <w:r>
        <w:rPr>
          <w:rFonts w:hint="eastAsia" w:ascii="仿宋_GB2312" w:hAnsi="宋体" w:eastAsia="仿宋_GB2312"/>
          <w:sz w:val="32"/>
          <w:szCs w:val="32"/>
        </w:rPr>
        <w:t xml:space="preserve">  船舶和水上防台单位在IV级防台--防台</w:t>
      </w:r>
      <w:r>
        <w:rPr>
          <w:rFonts w:hint="eastAsia" w:ascii="仿宋_GB2312" w:hAnsi="宋体" w:eastAsia="仿宋_GB2312"/>
          <w:b/>
          <w:bCs/>
          <w:sz w:val="32"/>
          <w:szCs w:val="32"/>
        </w:rPr>
        <w:t>戒备阶段</w:t>
      </w:r>
      <w:r>
        <w:rPr>
          <w:rFonts w:hint="eastAsia" w:ascii="仿宋_GB2312" w:hAnsi="宋体" w:eastAsia="仿宋_GB2312"/>
          <w:sz w:val="32"/>
          <w:szCs w:val="32"/>
        </w:rPr>
        <w:t>应做好下列工作：</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（一）密切关注台风动态，做好防台准备。 </w:t>
      </w:r>
    </w:p>
    <w:p>
      <w:pPr>
        <w:spacing w:line="576" w:lineRule="exact"/>
        <w:ind w:firstLine="640" w:firstLineChars="200"/>
        <w:rPr>
          <w:rFonts w:ascii="仿宋_GB2312" w:eastAsia="仿宋_GB2312"/>
          <w:sz w:val="32"/>
          <w:szCs w:val="32"/>
        </w:rPr>
      </w:pPr>
      <w:r>
        <w:rPr>
          <w:rFonts w:hint="eastAsia" w:ascii="仿宋_GB2312" w:hAnsi="宋体" w:eastAsia="仿宋_GB2312"/>
          <w:sz w:val="32"/>
          <w:szCs w:val="32"/>
        </w:rPr>
        <w:t>（二）</w:t>
      </w:r>
      <w:r>
        <w:rPr>
          <w:rFonts w:hint="eastAsia" w:ascii="仿宋_GB2312" w:eastAsia="仿宋_GB2312"/>
          <w:sz w:val="32"/>
          <w:szCs w:val="32"/>
        </w:rPr>
        <w:t>各船舶应对防台设备和属具至少进行一次一般性检查。</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无动力船舶应提前联系落实防台监护拖轮，并做好撤离准备。需跨地级市避风的施工无动力船舶，涉水工程的业主单位或施工单位应将相关信息通报工程所在地、避风地的防指办和海事</w:t>
      </w:r>
      <w:r>
        <w:rPr>
          <w:rFonts w:hint="eastAsia" w:ascii="仿宋_GB2312" w:eastAsia="仿宋_GB2312"/>
          <w:sz w:val="32"/>
          <w:szCs w:val="32"/>
          <w:lang w:val="en"/>
        </w:rPr>
        <w:t>管理</w:t>
      </w:r>
      <w:r>
        <w:rPr>
          <w:rFonts w:hint="eastAsia" w:ascii="仿宋_GB2312" w:eastAsia="仿宋_GB2312"/>
          <w:sz w:val="32"/>
          <w:szCs w:val="32"/>
        </w:rPr>
        <w:t>机构。</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（四）船舶代理单位和码头单位应及时将相关防台信息告知相关船舶。</w:t>
      </w:r>
    </w:p>
    <w:p>
      <w:pPr>
        <w:spacing w:line="576" w:lineRule="exact"/>
        <w:ind w:firstLine="640" w:firstLineChars="200"/>
        <w:rPr>
          <w:rFonts w:ascii="仿宋_GB2312" w:hAnsi="宋体" w:eastAsia="仿宋_GB2312"/>
          <w:sz w:val="32"/>
          <w:szCs w:val="32"/>
        </w:rPr>
      </w:pPr>
      <w:r>
        <w:rPr>
          <w:rFonts w:hint="eastAsia" w:ascii="仿宋_GB2312" w:hAnsi="仿宋" w:eastAsia="仿宋_GB2312"/>
          <w:sz w:val="32"/>
          <w:szCs w:val="32"/>
        </w:rPr>
        <w:t>（五）</w:t>
      </w:r>
      <w:r>
        <w:rPr>
          <w:rFonts w:hint="eastAsia" w:ascii="仿宋_GB2312" w:eastAsia="仿宋_GB2312"/>
          <w:sz w:val="32"/>
          <w:szCs w:val="32"/>
        </w:rPr>
        <w:t>游艇不得出海，在外游艇提前回港避风。</w:t>
      </w:r>
    </w:p>
    <w:p>
      <w:pPr>
        <w:spacing w:line="576"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船舶和水上防台单位在Ш级防台--防台</w:t>
      </w:r>
      <w:r>
        <w:rPr>
          <w:rFonts w:hint="eastAsia" w:ascii="仿宋_GB2312" w:hAnsi="宋体" w:eastAsia="仿宋_GB2312"/>
          <w:b/>
          <w:bCs/>
          <w:sz w:val="32"/>
          <w:szCs w:val="32"/>
        </w:rPr>
        <w:t>准备阶段</w:t>
      </w:r>
      <w:r>
        <w:rPr>
          <w:rFonts w:hint="eastAsia" w:ascii="仿宋_GB2312" w:hAnsi="宋体" w:eastAsia="仿宋_GB2312"/>
          <w:sz w:val="32"/>
          <w:szCs w:val="32"/>
        </w:rPr>
        <w:t>应做好下列工作：</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实行24小时值班，密切关注台风动态，做好防台各项工作</w:t>
      </w:r>
      <w:r>
        <w:rPr>
          <w:rFonts w:hint="eastAsia" w:ascii="仿宋_GB2312" w:hAnsi="宋体"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hAnsi="宋体" w:eastAsia="仿宋_GB2312"/>
          <w:sz w:val="32"/>
          <w:szCs w:val="32"/>
        </w:rPr>
        <w:t>（二）船舶应</w:t>
      </w:r>
      <w:r>
        <w:rPr>
          <w:rFonts w:hint="eastAsia" w:ascii="仿宋_GB2312" w:eastAsia="仿宋_GB2312"/>
          <w:sz w:val="32"/>
          <w:szCs w:val="32"/>
        </w:rPr>
        <w:t>对</w:t>
      </w:r>
      <w:r>
        <w:rPr>
          <w:rFonts w:hint="eastAsia" w:ascii="仿宋_GB2312" w:eastAsia="仿宋_GB2312"/>
          <w:spacing w:val="-4"/>
          <w:sz w:val="32"/>
          <w:szCs w:val="32"/>
        </w:rPr>
        <w:t>防台设备和属具</w:t>
      </w:r>
      <w:r>
        <w:rPr>
          <w:rFonts w:hint="eastAsia" w:ascii="仿宋_GB2312" w:eastAsia="仿宋_GB2312"/>
          <w:sz w:val="32"/>
          <w:szCs w:val="32"/>
        </w:rPr>
        <w:t>开展一次全面检查，做好各项防台准备。其中：</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1.长期停航船舶应特别加强船舶主机、辅机、锚机、舵机等关键设备的检测，确保处于良好工况，提前选择合适水域避台，必要时还应落实拖轮监护等应急保障措施。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2.扣押船舶应</w:t>
      </w:r>
      <w:r>
        <w:rPr>
          <w:rFonts w:hint="eastAsia" w:ascii="仿宋_GB2312" w:eastAsia="仿宋_GB2312"/>
          <w:sz w:val="32"/>
          <w:szCs w:val="32"/>
          <w:lang w:val="en"/>
        </w:rPr>
        <w:t>根据扣押水域情况、自身状况落实应急拖轮值守等安全保障措施。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3.无动力船舶、</w:t>
      </w:r>
      <w:r>
        <w:rPr>
          <w:rFonts w:hint="eastAsia" w:ascii="仿宋_GB2312" w:hAnsi="宋体" w:eastAsia="仿宋_GB2312"/>
          <w:sz w:val="32"/>
          <w:szCs w:val="32"/>
        </w:rPr>
        <w:t>新建有动力但主机未经完全调试的船舶</w:t>
      </w:r>
      <w:r>
        <w:rPr>
          <w:rFonts w:hint="eastAsia" w:ascii="仿宋_GB2312" w:eastAsia="仿宋_GB2312"/>
          <w:sz w:val="32"/>
          <w:szCs w:val="32"/>
        </w:rPr>
        <w:t>应联系监护拖轮就位，拖至安全水域避风，并将船舶情况、在船人数、安全措施等信息向所在地海事管理机构报告。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4.非坞修的船舶不得检修锅炉或拆卸主机、辅机、锚机、舵机等重要机械属具，已经在检修或拆卸的应立即装配复原，尽量恢复至正常功能。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5.冲滩避台的船舶应选择高潮时冲滩，并做好加固工作。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6.船舶停止水上危险品货物过驳、船舶燃料加注等作业。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7.危险品船舶应做好随时撤离的准备。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8.试航船舶停止试航作业，提前回港避风。</w:t>
      </w:r>
    </w:p>
    <w:p>
      <w:pPr>
        <w:spacing w:line="576" w:lineRule="exact"/>
        <w:ind w:firstLine="640" w:firstLineChars="200"/>
        <w:rPr>
          <w:rFonts w:ascii="仿宋_GB2312" w:hAnsi="宋体" w:eastAsia="仿宋_GB2312"/>
          <w:sz w:val="32"/>
          <w:szCs w:val="32"/>
        </w:rPr>
      </w:pPr>
      <w:r>
        <w:rPr>
          <w:rFonts w:hint="eastAsia" w:ascii="仿宋_GB2312" w:eastAsia="仿宋_GB2312"/>
          <w:sz w:val="32"/>
          <w:szCs w:val="32"/>
        </w:rPr>
        <w:t>9.新建船舶停止下水作业，就地加固船台上船舶，并严格按照防台应急预案落实安全保障措施</w:t>
      </w:r>
      <w:r>
        <w:rPr>
          <w:rFonts w:hint="eastAsia" w:ascii="仿宋_GB2312" w:hAnsi="宋体" w:eastAsia="仿宋_GB2312"/>
          <w:sz w:val="32"/>
          <w:szCs w:val="32"/>
        </w:rPr>
        <w:t>。</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10.500总吨以上的船舶不得进入台州港海门港区避风，如确因特殊情况需要进入的，应经主管机关同意。</w:t>
      </w:r>
    </w:p>
    <w:p>
      <w:pPr>
        <w:spacing w:line="576" w:lineRule="exact"/>
        <w:ind w:firstLine="640" w:firstLineChars="200"/>
        <w:rPr>
          <w:rFonts w:ascii="仿宋_GB2312" w:eastAsia="仿宋_GB2312"/>
          <w:sz w:val="32"/>
          <w:szCs w:val="32"/>
        </w:rPr>
      </w:pPr>
      <w:r>
        <w:rPr>
          <w:rFonts w:hint="eastAsia" w:ascii="仿宋_GB2312" w:hAnsi="宋体" w:eastAsia="仿宋_GB2312"/>
          <w:sz w:val="32"/>
          <w:szCs w:val="32"/>
        </w:rPr>
        <w:t>（三）港口调度部门应准确掌握作业船舶动态，合理安排船舶装卸作业，确保船舶可随时离泊出港；</w:t>
      </w:r>
      <w:r>
        <w:rPr>
          <w:rFonts w:hint="eastAsia" w:ascii="仿宋_GB2312" w:eastAsia="仿宋_GB2312"/>
          <w:sz w:val="32"/>
          <w:szCs w:val="32"/>
        </w:rPr>
        <w:t>对进港船舶，需根据台风影响趋势做提前控制。</w:t>
      </w:r>
    </w:p>
    <w:p>
      <w:pPr>
        <w:spacing w:line="576" w:lineRule="exact"/>
        <w:ind w:firstLine="640" w:firstLineChars="200"/>
        <w:rPr>
          <w:rFonts w:ascii="仿宋_GB2312" w:eastAsia="仿宋_GB2312"/>
          <w:sz w:val="32"/>
          <w:szCs w:val="32"/>
        </w:rPr>
      </w:pPr>
      <w:r>
        <w:rPr>
          <w:rFonts w:hint="eastAsia" w:ascii="仿宋_GB2312" w:hAnsi="宋体" w:eastAsia="仿宋_GB2312"/>
          <w:sz w:val="32"/>
          <w:szCs w:val="32"/>
        </w:rPr>
        <w:t>（四）</w:t>
      </w:r>
      <w:r>
        <w:rPr>
          <w:rFonts w:hint="eastAsia" w:ascii="仿宋_GB2312" w:eastAsia="仿宋_GB2312"/>
          <w:sz w:val="32"/>
          <w:szCs w:val="32"/>
        </w:rPr>
        <w:t>引航部门应在Ⅲ级防台应急响应后一小时内将申请引航员协助防台的船舶移泊计划和引航人员安排报海事</w:t>
      </w:r>
      <w:r>
        <w:rPr>
          <w:rFonts w:hint="eastAsia" w:ascii="仿宋_GB2312" w:eastAsia="仿宋_GB2312"/>
          <w:sz w:val="32"/>
          <w:szCs w:val="32"/>
          <w:lang w:val="en"/>
        </w:rPr>
        <w:t>管理</w:t>
      </w:r>
      <w:r>
        <w:rPr>
          <w:rFonts w:hint="eastAsia" w:ascii="仿宋_GB2312" w:eastAsia="仿宋_GB2312"/>
          <w:sz w:val="32"/>
          <w:szCs w:val="32"/>
        </w:rPr>
        <w:t>机构。</w:t>
      </w:r>
    </w:p>
    <w:p>
      <w:pPr>
        <w:spacing w:line="576" w:lineRule="exact"/>
        <w:ind w:firstLine="640" w:firstLineChars="200"/>
        <w:rPr>
          <w:rFonts w:ascii="仿宋_GB2312" w:eastAsia="仿宋_GB2312"/>
          <w:sz w:val="32"/>
          <w:szCs w:val="32"/>
          <w:lang w:val="en"/>
        </w:rPr>
      </w:pPr>
      <w:r>
        <w:rPr>
          <w:rFonts w:hint="eastAsia" w:ascii="仿宋_GB2312" w:eastAsia="仿宋_GB2312"/>
          <w:sz w:val="32"/>
          <w:szCs w:val="32"/>
        </w:rPr>
        <w:t>（五）船舶代理单位、码头单位和航运企业应立即将港口防台信息告知相关船舶，协助在港船舶做好撤离准备工作，提醒锚泊船舶注意防范锚地水域的风流影响，提醒未抵港船舶，</w:t>
      </w:r>
      <w:r>
        <w:rPr>
          <w:rFonts w:hint="eastAsia" w:ascii="仿宋_GB2312" w:eastAsia="仿宋_GB2312"/>
          <w:sz w:val="32"/>
          <w:szCs w:val="32"/>
          <w:lang w:val="en"/>
        </w:rPr>
        <w:t>特别是装载卷钢、易流态化货物等船舶</w:t>
      </w:r>
      <w:r>
        <w:rPr>
          <w:rFonts w:hint="eastAsia" w:ascii="仿宋_GB2312" w:eastAsia="仿宋_GB2312"/>
          <w:sz w:val="32"/>
          <w:szCs w:val="32"/>
        </w:rPr>
        <w:t>及时调整航行计划暂缓进港</w:t>
      </w:r>
      <w:r>
        <w:rPr>
          <w:rFonts w:hint="eastAsia" w:ascii="仿宋_GB2312" w:eastAsia="仿宋_GB2312"/>
          <w:sz w:val="32"/>
          <w:szCs w:val="32"/>
          <w:lang w:val="en"/>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（六）船舶修造单位应做好修造船舶的防台准备工作，原则上无动力修造船不得在海上锚泊避台。</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（七）</w:t>
      </w:r>
      <w:r>
        <w:rPr>
          <w:rFonts w:hint="eastAsia" w:ascii="仿宋_GB2312" w:eastAsia="仿宋_GB2312"/>
          <w:sz w:val="32"/>
          <w:szCs w:val="32"/>
        </w:rPr>
        <w:t>涉水工程业主单位、施工单位应做好施工作业船舶和人员撤离的准备工作，在台风影响较大且影响较确定的情况下，应提前撤离水中平台等部位施工作业人员。</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八）预计未来48小时可能受台风10级风圈影响时，从事涉水工程施工作业的有动力工程类船舶及时撤离至避风水域，并撤离除船员外的其他船上人员；从事涉水工程施工作业的无动力工程类船舶及时撤离至避风水域，并撤离除必要船员外的其他船上人员。预计未来48小时可能受台风12级风圈影响时，从事涉水工程施工作业的有动力工程类船舶撤离除必要船员外的其他船上人员；从事涉水工程施工作业的无动力工程类船舶撤离所有船上人员。</w:t>
      </w:r>
    </w:p>
    <w:p>
      <w:pPr>
        <w:spacing w:line="576"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w:t>
      </w:r>
      <w:r>
        <w:rPr>
          <w:rFonts w:hint="eastAsia" w:ascii="仿宋_GB2312" w:eastAsia="仿宋_GB2312"/>
          <w:sz w:val="32"/>
          <w:szCs w:val="32"/>
        </w:rPr>
        <w:t>船舶和水上防台单位</w:t>
      </w:r>
      <w:r>
        <w:rPr>
          <w:rFonts w:hint="eastAsia" w:ascii="仿宋_GB2312" w:hAnsi="宋体" w:eastAsia="仿宋_GB2312"/>
          <w:sz w:val="32"/>
          <w:szCs w:val="32"/>
        </w:rPr>
        <w:t>在Ⅱ级防台--防台</w:t>
      </w:r>
      <w:r>
        <w:rPr>
          <w:rFonts w:hint="eastAsia" w:ascii="仿宋_GB2312" w:hAnsi="宋体" w:eastAsia="仿宋_GB2312"/>
          <w:b/>
          <w:bCs/>
          <w:sz w:val="32"/>
          <w:szCs w:val="32"/>
        </w:rPr>
        <w:t>实施阶段</w:t>
      </w:r>
      <w:r>
        <w:rPr>
          <w:rFonts w:hint="eastAsia" w:ascii="仿宋_GB2312" w:hAnsi="宋体" w:eastAsia="仿宋_GB2312"/>
          <w:sz w:val="32"/>
          <w:szCs w:val="32"/>
        </w:rPr>
        <w:t>应做好下列防台工作：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（一）所有船舶要做好封舱、活动部件加固以及通信设备的检查等工作，准备抗台。</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（二）各码头单位应立即通知相关船舶停止装卸作业、过驳作业，并合理安排有序离泊。</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（三）非空载的危险品船舶应立即驶离码头。</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（四）从事水上水下施工作业船舶应立即停止作业，进入避风水域。</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（五）客、渡运船舶、观光旅游船舶应按照禁限航管理规定停渡停航，不得冒险航行。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（六）锚泊船舶应加强锚泊值班，对主机、辅机、锚机、舵机、通信设施等关键性设备状况进行检查。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（七）冲滩避台的船舶必须对加固情况进行检查，防止移位。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（八）准备靠泊码头抗台的船舶应增加系缆数量，及时调整系缆，确保全部系缆受力均匀。</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（九）</w:t>
      </w:r>
      <w:r>
        <w:rPr>
          <w:rFonts w:hint="eastAsia" w:ascii="仿宋_GB2312" w:eastAsia="仿宋_GB2312"/>
          <w:sz w:val="32"/>
          <w:szCs w:val="32"/>
          <w:lang w:val="en"/>
        </w:rPr>
        <w:t>总长250米以上的船舶应立即离港避台。</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十）预计未来24小时可能受台风10级风圈影响时，交通艇、游艇等小型船艇及时撤离所有船上人员。预计未来24小时可能受台风12级风圈影响时，除载运散装液体危险货物及油类船舶外的小型普通货船及时撤离所有船上人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（十一）应急救助船舶应进入待命状态。</w:t>
      </w:r>
    </w:p>
    <w:p>
      <w:pPr>
        <w:spacing w:line="576"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w:t>
      </w:r>
      <w:r>
        <w:rPr>
          <w:rFonts w:hint="eastAsia" w:ascii="仿宋_GB2312" w:eastAsia="仿宋_GB2312"/>
          <w:sz w:val="32"/>
          <w:szCs w:val="32"/>
        </w:rPr>
        <w:t>船舶和水上防台单位</w:t>
      </w:r>
      <w:r>
        <w:rPr>
          <w:rFonts w:hint="eastAsia" w:ascii="仿宋_GB2312" w:hAnsi="宋体" w:eastAsia="仿宋_GB2312"/>
          <w:sz w:val="32"/>
          <w:szCs w:val="32"/>
        </w:rPr>
        <w:t>在I级防台--抗击台风阶段应做好下列工作：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（一）所有船舶（除全部人员撤离的船舶）应进入航行值班状态，船长上驾驶台指挥。</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（二）锚泊船应备妥主机，勤测锚位，必要时使用车、舵防止走锚、断链。</w:t>
      </w:r>
      <w:r>
        <w:rPr>
          <w:rFonts w:hint="eastAsia" w:ascii="仿宋_GB2312" w:hAnsi="宋体" w:eastAsia="仿宋_GB2312"/>
          <w:sz w:val="32"/>
          <w:szCs w:val="32"/>
        </w:rPr>
        <w:t>一旦发现本船或它船走锚，在采取相应措施的同时，应立即报告主管机关。</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（三）停靠码头船舶应备妥主机，并随时关注系缆、碰垫的情况，必要时使用车、舵以减轻系缆负荷，防止断缆。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hAnsi="宋体" w:eastAsia="仿宋_GB2312"/>
          <w:sz w:val="32"/>
          <w:szCs w:val="32"/>
        </w:rPr>
        <w:t>冲滩抗台船舶应加强巡视，</w:t>
      </w:r>
      <w:r>
        <w:rPr>
          <w:rFonts w:hint="eastAsia" w:ascii="仿宋_GB2312" w:eastAsia="仿宋_GB2312"/>
          <w:sz w:val="32"/>
          <w:szCs w:val="32"/>
        </w:rPr>
        <w:t>防止船舶移位、下滑。</w:t>
      </w:r>
    </w:p>
    <w:p>
      <w:pPr>
        <w:spacing w:line="576" w:lineRule="exact"/>
        <w:ind w:firstLine="640" w:firstLineChars="200"/>
        <w:rPr>
          <w:rFonts w:ascii="仿宋_GB2312" w:hAnsi="宋体" w:eastAsia="仿宋_GB2312"/>
          <w:sz w:val="32"/>
          <w:szCs w:val="32"/>
        </w:rPr>
      </w:pPr>
      <w:r>
        <w:rPr>
          <w:rFonts w:hint="eastAsia" w:ascii="仿宋_GB2312" w:eastAsia="仿宋_GB2312"/>
          <w:sz w:val="32"/>
          <w:szCs w:val="32"/>
        </w:rPr>
        <w:t>（五）客、渡运船舶及观光旅游船舶必须停渡停航。</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船舶应听从海事管理机构协调指挥，有序抛锚，不得争抢锚位。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锚泊船应尽量让出航道，与大桥、管线、码头、海塘、堤坝等水上水下构筑物锚泊保持安全距离，并将本船载货、动力、人员等情况报海事管理机构。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其中，与重点大桥应保持1500米以上的距离；与其他</w:t>
      </w:r>
      <w:r>
        <w:rPr>
          <w:rFonts w:hint="eastAsia" w:ascii="仿宋_GB2312" w:eastAsia="仿宋_GB2312"/>
          <w:sz w:val="32"/>
          <w:szCs w:val="32"/>
          <w:lang w:val="en"/>
        </w:rPr>
        <w:t>水上水下构筑物</w:t>
      </w:r>
      <w:r>
        <w:rPr>
          <w:rFonts w:hint="eastAsia" w:ascii="仿宋_GB2312" w:eastAsia="仿宋_GB2312"/>
          <w:sz w:val="32"/>
          <w:szCs w:val="32"/>
        </w:rPr>
        <w:t>应尽可能保持1000米以上的距离。</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w:t>
      </w:r>
      <w:r>
        <w:rPr>
          <w:rFonts w:hint="eastAsia" w:ascii="仿宋_GB2312" w:eastAsia="仿宋_GB2312"/>
          <w:color w:val="FF0000"/>
          <w:sz w:val="32"/>
          <w:szCs w:val="32"/>
        </w:rPr>
        <w:t>内河水域上游泄洪放水时，水利部门应提前向下游受影响区域发布预警信息。</w:t>
      </w:r>
      <w:r>
        <w:rPr>
          <w:rFonts w:hint="eastAsia" w:ascii="仿宋_GB2312" w:eastAsia="仿宋_GB2312"/>
          <w:sz w:val="32"/>
          <w:szCs w:val="32"/>
        </w:rPr>
        <w:t>内河水域船舶避台期间，应关注上游泄洪等异常增水情况，防范船舶走锚、断缆、卡桥等。</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航经船舶应掌握台风动态和所在水域防台应急响应等级，尽可能远离台风影响区域，避免从防台响应等级低的区域驶往防台响应等级高的区域，必要时择地抛锚避风。</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在防台应急响应期间，船舶应保持VHF设备不间断守听、AIS设备有效开启、通讯畅通。</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各船舶如遇险情或得到其他船舶的遇险信息，须立即向海事管理机构报告。遇险船舶应做好自救工作，附近其他船舶应在确保自身安全的同时，积极参与抢险救助工作。</w:t>
      </w:r>
    </w:p>
    <w:p>
      <w:pPr>
        <w:spacing w:line="576"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防台应急响应解除后，船舶和水上防台单位应做好下列工作：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（一）立即检查船舶损失情况，特别是船舶的航行操纵设备、锚泊、系泊设备及其他重要属具受损情况。发现可能影响船舶安全的设施设备受损时，应立即报告海事管理机构，并及时进行修理。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（二）应听从海事管理机构指挥，有序恢复生产通航。</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（三）发现航标漂失、移位或灯光熄灭以及沉船、沉物、漂流物时应立即报告海事管理机构。</w:t>
      </w:r>
    </w:p>
    <w:p>
      <w:pPr>
        <w:spacing w:line="576" w:lineRule="exact"/>
        <w:ind w:firstLine="643" w:firstLineChars="200"/>
        <w:rPr>
          <w:rFonts w:ascii="仿宋_GB2312" w:hAnsi="宋体" w:eastAsia="仿宋_GB2312"/>
          <w:sz w:val="32"/>
          <w:szCs w:val="32"/>
        </w:rPr>
      </w:pPr>
      <w:r>
        <w:rPr>
          <w:rFonts w:hint="eastAsia" w:ascii="仿宋_GB2312" w:hAnsi="宋体" w:eastAsia="仿宋_GB2312"/>
          <w:b/>
          <w:sz w:val="32"/>
          <w:szCs w:val="32"/>
        </w:rPr>
        <w:t>第十六条</w:t>
      </w:r>
      <w:r>
        <w:rPr>
          <w:rFonts w:ascii="仿宋_GB2312" w:hAnsi="宋体" w:eastAsia="仿宋_GB2312"/>
          <w:sz w:val="32"/>
          <w:szCs w:val="32"/>
        </w:rPr>
        <w:t xml:space="preserve">  </w:t>
      </w:r>
      <w:r>
        <w:rPr>
          <w:rFonts w:hint="eastAsia" w:ascii="仿宋_GB2312" w:hAnsi="宋体" w:eastAsia="仿宋_GB2312"/>
          <w:sz w:val="32"/>
          <w:szCs w:val="32"/>
        </w:rPr>
        <w:t>本规定下列用语的含义：</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bookmarkStart w:id="0" w:name="_GoBack"/>
      <w:bookmarkEnd w:id="0"/>
      <w:r>
        <w:rPr>
          <w:rFonts w:hint="eastAsia" w:ascii="仿宋_GB2312" w:hAnsi="宋体" w:eastAsia="仿宋_GB2312"/>
          <w:sz w:val="32"/>
          <w:szCs w:val="32"/>
        </w:rPr>
        <w:t>“台风”系指蒲氏风力8级（平均风速17.2米/秒）以上热带气旋，包括热带风暴、强热带风暴、台风、强台风和超强台风。</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“台风季节”指每年6月-10月。</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bCs/>
          <w:kern w:val="0"/>
          <w:sz w:val="32"/>
          <w:szCs w:val="32"/>
        </w:rPr>
        <w:t xml:space="preserve"> “防台界线”</w:t>
      </w:r>
      <w:r>
        <w:rPr>
          <w:rFonts w:hint="eastAsia" w:ascii="仿宋_GB2312" w:hAnsi="宋体" w:eastAsia="仿宋_GB2312" w:cs="宋体"/>
          <w:kern w:val="0"/>
          <w:sz w:val="32"/>
          <w:szCs w:val="32"/>
        </w:rPr>
        <w:t>指以横址山岛南端、下前山岛南端、上浪</w:t>
      </w:r>
      <w:r>
        <w:rPr>
          <w:rFonts w:hint="eastAsia" w:ascii="仿宋_GB2312" w:hAnsi="宋体" w:eastAsia="仿宋_GB2312" w:cs="宋体"/>
          <w:kern w:val="0"/>
          <w:sz w:val="32"/>
          <w:szCs w:val="32"/>
        </w:rPr>
        <w:t>珰</w:t>
      </w:r>
      <w:r>
        <w:rPr>
          <w:rFonts w:hint="eastAsia" w:ascii="仿宋_GB2312" w:hAnsi="宋体" w:eastAsia="仿宋_GB2312" w:cs="宋体"/>
          <w:kern w:val="0"/>
          <w:sz w:val="32"/>
          <w:szCs w:val="32"/>
        </w:rPr>
        <w:t>岛南端、上下大陈岛东端、东矶岛东端、三门岛南端和开井山南端各点的连线。</w:t>
      </w:r>
    </w:p>
    <w:p>
      <w:pPr>
        <w:spacing w:line="576" w:lineRule="exact"/>
        <w:ind w:firstLine="640" w:firstLineChars="200"/>
        <w:rPr>
          <w:rFonts w:ascii="仿宋_GB2312" w:hAnsi="宋体" w:eastAsia="仿宋_GB2312" w:cs="宋体"/>
          <w:kern w:val="0"/>
          <w:sz w:val="32"/>
          <w:szCs w:val="32"/>
        </w:rPr>
      </w:pPr>
      <w:r>
        <w:rPr>
          <w:rFonts w:hint="eastAsia" w:ascii="仿宋_GB2312" w:hAnsi="宋体" w:eastAsia="仿宋_GB2312" w:cs="宋体"/>
          <w:bCs/>
          <w:kern w:val="0"/>
          <w:sz w:val="32"/>
          <w:szCs w:val="32"/>
        </w:rPr>
        <w:t>“防台界线以内水域”</w:t>
      </w:r>
      <w:r>
        <w:rPr>
          <w:rFonts w:hint="eastAsia" w:ascii="仿宋_GB2312" w:hAnsi="宋体" w:eastAsia="仿宋_GB2312" w:cs="宋体"/>
          <w:kern w:val="0"/>
          <w:sz w:val="32"/>
          <w:szCs w:val="32"/>
        </w:rPr>
        <w:t>指防台界线靠近大陆一侧的辖区水域。</w:t>
      </w:r>
    </w:p>
    <w:p>
      <w:pPr>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“船舶防台设备和属具”系指船舶系泊设备、操纵设备、通信设备、水密装置、货舱用具、排水设备、救生设备以及其他与防台有关的船舶设备和属具。</w:t>
      </w:r>
    </w:p>
    <w:p>
      <w:pPr>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“小型船舶”是指300总吨及以下船舶。</w:t>
      </w:r>
    </w:p>
    <w:p>
      <w:pPr>
        <w:spacing w:line="576" w:lineRule="exact"/>
        <w:ind w:firstLine="624" w:firstLineChars="200"/>
        <w:rPr>
          <w:rFonts w:ascii="仿宋_GB2312" w:eastAsia="仿宋_GB2312"/>
          <w:spacing w:val="-4"/>
          <w:sz w:val="32"/>
          <w:szCs w:val="32"/>
        </w:rPr>
      </w:pPr>
      <w:r>
        <w:rPr>
          <w:rFonts w:hint="eastAsia" w:ascii="仿宋_GB2312" w:eastAsia="仿宋_GB2312"/>
          <w:spacing w:val="-4"/>
          <w:sz w:val="32"/>
          <w:szCs w:val="32"/>
        </w:rPr>
        <w:t>“重点大桥”是指椒江</w:t>
      </w:r>
      <w:r>
        <w:rPr>
          <w:rFonts w:hint="eastAsia" w:ascii="仿宋_GB2312" w:eastAsia="仿宋_GB2312"/>
          <w:sz w:val="32"/>
          <w:szCs w:val="32"/>
        </w:rPr>
        <w:t>大桥、甬台温铁路灵江大桥、台金高速灵江大桥等。</w:t>
      </w:r>
    </w:p>
    <w:p>
      <w:pPr>
        <w:spacing w:line="576" w:lineRule="exact"/>
        <w:ind w:firstLine="643" w:firstLineChars="200"/>
        <w:rPr>
          <w:rFonts w:ascii="仿宋_GB2312" w:eastAsia="仿宋_GB2312"/>
          <w:sz w:val="32"/>
          <w:szCs w:val="32"/>
        </w:rPr>
      </w:pPr>
      <w:r>
        <w:rPr>
          <w:rFonts w:hint="eastAsia" w:ascii="仿宋_GB2312" w:hAnsi="宋体" w:eastAsia="仿宋_GB2312"/>
          <w:b/>
          <w:sz w:val="32"/>
          <w:szCs w:val="32"/>
        </w:rPr>
        <w:t>第十七条</w:t>
      </w:r>
      <w:r>
        <w:rPr>
          <w:rFonts w:hint="eastAsia" w:ascii="仿宋_GB2312" w:hAnsi="宋体" w:eastAsia="仿宋_GB2312"/>
          <w:sz w:val="32"/>
          <w:szCs w:val="32"/>
        </w:rPr>
        <w:t xml:space="preserve">  本规定自</w:t>
      </w:r>
      <w:r>
        <w:rPr>
          <w:rFonts w:hint="eastAsia" w:ascii="仿宋_GB2312" w:eastAsia="仿宋_GB2312"/>
          <w:sz w:val="32"/>
          <w:szCs w:val="32"/>
        </w:rPr>
        <w:t>2025年X月XX日起施行</w:t>
      </w:r>
      <w:r>
        <w:rPr>
          <w:rFonts w:hint="eastAsia" w:ascii="仿宋_GB2312" w:hAnsi="宋体" w:eastAsia="仿宋_GB2312"/>
          <w:sz w:val="32"/>
          <w:szCs w:val="32"/>
        </w:rPr>
        <w:t>，有效期五年，原</w:t>
      </w:r>
      <w:r>
        <w:rPr>
          <w:rFonts w:hint="eastAsia" w:ascii="仿宋_GB2312" w:hAnsi="宋体" w:eastAsia="仿宋_GB2312"/>
          <w:bCs/>
          <w:sz w:val="32"/>
          <w:szCs w:val="32"/>
        </w:rPr>
        <w:t>《台州海事局辖区水上防台管理规定（暂行）》（浙海通航[2011]329号）同时废止。</w:t>
      </w:r>
    </w:p>
    <w:sectPr>
      <w:headerReference r:id="rId3" w:type="default"/>
      <w:footerReference r:id="rId4" w:type="default"/>
      <w:footerReference r:id="rId5" w:type="even"/>
      <w:pgSz w:w="11906" w:h="16838"/>
      <w:pgMar w:top="2098" w:right="1418" w:bottom="1871" w:left="141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pPr>
      <w:pStyle w:val="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kM2ZjMjNjMjMxNjA0MmExZjNkZGMxYzcxMjgwYjgifQ=="/>
  </w:docVars>
  <w:rsids>
    <w:rsidRoot w:val="00FE17C2"/>
    <w:rsid w:val="00046A04"/>
    <w:rsid w:val="0005718F"/>
    <w:rsid w:val="0006187D"/>
    <w:rsid w:val="000835DA"/>
    <w:rsid w:val="000C4F3C"/>
    <w:rsid w:val="00136D58"/>
    <w:rsid w:val="00146735"/>
    <w:rsid w:val="001517DC"/>
    <w:rsid w:val="00176D12"/>
    <w:rsid w:val="0018036E"/>
    <w:rsid w:val="001B6B10"/>
    <w:rsid w:val="001D6798"/>
    <w:rsid w:val="00227264"/>
    <w:rsid w:val="002526EE"/>
    <w:rsid w:val="00260B77"/>
    <w:rsid w:val="00294622"/>
    <w:rsid w:val="002E5588"/>
    <w:rsid w:val="00394E08"/>
    <w:rsid w:val="003A28BF"/>
    <w:rsid w:val="003D591B"/>
    <w:rsid w:val="00407243"/>
    <w:rsid w:val="00407633"/>
    <w:rsid w:val="00432B47"/>
    <w:rsid w:val="00455DCB"/>
    <w:rsid w:val="005360DA"/>
    <w:rsid w:val="005417D2"/>
    <w:rsid w:val="005744A9"/>
    <w:rsid w:val="00597FB1"/>
    <w:rsid w:val="005D0ABC"/>
    <w:rsid w:val="005D66E0"/>
    <w:rsid w:val="005E5337"/>
    <w:rsid w:val="00612B04"/>
    <w:rsid w:val="00672DD1"/>
    <w:rsid w:val="006A16C3"/>
    <w:rsid w:val="006B2622"/>
    <w:rsid w:val="006C5C99"/>
    <w:rsid w:val="006E7AFA"/>
    <w:rsid w:val="00703432"/>
    <w:rsid w:val="0071622C"/>
    <w:rsid w:val="0072426A"/>
    <w:rsid w:val="00741D36"/>
    <w:rsid w:val="00752A53"/>
    <w:rsid w:val="00776052"/>
    <w:rsid w:val="007A25E5"/>
    <w:rsid w:val="007D6F53"/>
    <w:rsid w:val="00825C19"/>
    <w:rsid w:val="008526D5"/>
    <w:rsid w:val="0088462D"/>
    <w:rsid w:val="00891E57"/>
    <w:rsid w:val="008D4923"/>
    <w:rsid w:val="00953E11"/>
    <w:rsid w:val="00954192"/>
    <w:rsid w:val="00983D76"/>
    <w:rsid w:val="009878A6"/>
    <w:rsid w:val="00997D67"/>
    <w:rsid w:val="009C1CA5"/>
    <w:rsid w:val="00A0276B"/>
    <w:rsid w:val="00A1257D"/>
    <w:rsid w:val="00A324E2"/>
    <w:rsid w:val="00A723F3"/>
    <w:rsid w:val="00A92FA6"/>
    <w:rsid w:val="00AB2F71"/>
    <w:rsid w:val="00AD247A"/>
    <w:rsid w:val="00AE4201"/>
    <w:rsid w:val="00B13322"/>
    <w:rsid w:val="00B13BA8"/>
    <w:rsid w:val="00B27D58"/>
    <w:rsid w:val="00B52DA9"/>
    <w:rsid w:val="00B7266B"/>
    <w:rsid w:val="00BA096E"/>
    <w:rsid w:val="00BC35C1"/>
    <w:rsid w:val="00BC3F6F"/>
    <w:rsid w:val="00BD6BF7"/>
    <w:rsid w:val="00BD7583"/>
    <w:rsid w:val="00C22405"/>
    <w:rsid w:val="00C376E5"/>
    <w:rsid w:val="00CC2D33"/>
    <w:rsid w:val="00CE1CC9"/>
    <w:rsid w:val="00CF47B9"/>
    <w:rsid w:val="00CF63C0"/>
    <w:rsid w:val="00D12A06"/>
    <w:rsid w:val="00D41C48"/>
    <w:rsid w:val="00D717DE"/>
    <w:rsid w:val="00D92FC5"/>
    <w:rsid w:val="00D95A68"/>
    <w:rsid w:val="00DE6D8E"/>
    <w:rsid w:val="00E27D74"/>
    <w:rsid w:val="00E56031"/>
    <w:rsid w:val="00E8375A"/>
    <w:rsid w:val="00EA578E"/>
    <w:rsid w:val="00EB7051"/>
    <w:rsid w:val="00EC0375"/>
    <w:rsid w:val="00EC04C4"/>
    <w:rsid w:val="00ED063F"/>
    <w:rsid w:val="00ED52D0"/>
    <w:rsid w:val="00EE0D76"/>
    <w:rsid w:val="00F0642D"/>
    <w:rsid w:val="00F07A80"/>
    <w:rsid w:val="00F47DEE"/>
    <w:rsid w:val="00F64415"/>
    <w:rsid w:val="00F67CB4"/>
    <w:rsid w:val="00FE17C2"/>
    <w:rsid w:val="00FF1B44"/>
    <w:rsid w:val="01F62F61"/>
    <w:rsid w:val="02551304"/>
    <w:rsid w:val="02ED7EC0"/>
    <w:rsid w:val="05092CC1"/>
    <w:rsid w:val="05A26C68"/>
    <w:rsid w:val="05C92AA2"/>
    <w:rsid w:val="06D575E9"/>
    <w:rsid w:val="070954E4"/>
    <w:rsid w:val="08042933"/>
    <w:rsid w:val="09510A7C"/>
    <w:rsid w:val="0A701077"/>
    <w:rsid w:val="0AA6789B"/>
    <w:rsid w:val="0D2C6083"/>
    <w:rsid w:val="0E772169"/>
    <w:rsid w:val="0E785B95"/>
    <w:rsid w:val="0FED14FF"/>
    <w:rsid w:val="10044A9B"/>
    <w:rsid w:val="10703EDE"/>
    <w:rsid w:val="10F23BC8"/>
    <w:rsid w:val="112B18AD"/>
    <w:rsid w:val="11390774"/>
    <w:rsid w:val="11B94F2C"/>
    <w:rsid w:val="148D32B1"/>
    <w:rsid w:val="150D1537"/>
    <w:rsid w:val="15CC605B"/>
    <w:rsid w:val="17604CAC"/>
    <w:rsid w:val="18011F03"/>
    <w:rsid w:val="1A0B22C7"/>
    <w:rsid w:val="1A165AF6"/>
    <w:rsid w:val="1C901C49"/>
    <w:rsid w:val="1D5C0BCB"/>
    <w:rsid w:val="1DA131D1"/>
    <w:rsid w:val="200D34F7"/>
    <w:rsid w:val="20991E41"/>
    <w:rsid w:val="20FF6EF1"/>
    <w:rsid w:val="2265586D"/>
    <w:rsid w:val="259941BD"/>
    <w:rsid w:val="25F80F5A"/>
    <w:rsid w:val="287E75AA"/>
    <w:rsid w:val="2E7A61FC"/>
    <w:rsid w:val="32454451"/>
    <w:rsid w:val="33307EBA"/>
    <w:rsid w:val="33E23182"/>
    <w:rsid w:val="344100C6"/>
    <w:rsid w:val="39D52E80"/>
    <w:rsid w:val="3EA6303D"/>
    <w:rsid w:val="3F5769DC"/>
    <w:rsid w:val="3F7D5B4C"/>
    <w:rsid w:val="3F942E96"/>
    <w:rsid w:val="41635215"/>
    <w:rsid w:val="437B0903"/>
    <w:rsid w:val="469D0882"/>
    <w:rsid w:val="484B78FD"/>
    <w:rsid w:val="48A919F9"/>
    <w:rsid w:val="48B72A26"/>
    <w:rsid w:val="49DA76F5"/>
    <w:rsid w:val="4A4554B8"/>
    <w:rsid w:val="4A5E657A"/>
    <w:rsid w:val="4BB74194"/>
    <w:rsid w:val="4C0F2771"/>
    <w:rsid w:val="4D001B6A"/>
    <w:rsid w:val="4DBE5CAD"/>
    <w:rsid w:val="4E826F2E"/>
    <w:rsid w:val="4F8151E4"/>
    <w:rsid w:val="52DC2732"/>
    <w:rsid w:val="537D2167"/>
    <w:rsid w:val="53EC1883"/>
    <w:rsid w:val="5402266C"/>
    <w:rsid w:val="545E7526"/>
    <w:rsid w:val="54E029AD"/>
    <w:rsid w:val="55193AC9"/>
    <w:rsid w:val="55D668A1"/>
    <w:rsid w:val="58B15A5D"/>
    <w:rsid w:val="5A647BDD"/>
    <w:rsid w:val="5ADB5417"/>
    <w:rsid w:val="5C4E3F32"/>
    <w:rsid w:val="5C946EBD"/>
    <w:rsid w:val="5C9B5CF2"/>
    <w:rsid w:val="5CE23E20"/>
    <w:rsid w:val="5E39312E"/>
    <w:rsid w:val="5F117C07"/>
    <w:rsid w:val="5FB73A8B"/>
    <w:rsid w:val="60E31D9F"/>
    <w:rsid w:val="60F31CBA"/>
    <w:rsid w:val="62345D85"/>
    <w:rsid w:val="627A1305"/>
    <w:rsid w:val="632B573B"/>
    <w:rsid w:val="670E3566"/>
    <w:rsid w:val="67671593"/>
    <w:rsid w:val="6862661C"/>
    <w:rsid w:val="69DB0ACD"/>
    <w:rsid w:val="6A691974"/>
    <w:rsid w:val="6B0F76F1"/>
    <w:rsid w:val="6B9F00DB"/>
    <w:rsid w:val="6C1E71A7"/>
    <w:rsid w:val="6C700183"/>
    <w:rsid w:val="6DA305C4"/>
    <w:rsid w:val="6E2039C3"/>
    <w:rsid w:val="6E290950"/>
    <w:rsid w:val="6EC0632C"/>
    <w:rsid w:val="6FF427C3"/>
    <w:rsid w:val="710B095A"/>
    <w:rsid w:val="718814E9"/>
    <w:rsid w:val="72D26514"/>
    <w:rsid w:val="72D66D46"/>
    <w:rsid w:val="73715675"/>
    <w:rsid w:val="74F400C7"/>
    <w:rsid w:val="76C05D43"/>
    <w:rsid w:val="79EC2057"/>
    <w:rsid w:val="7A835A05"/>
    <w:rsid w:val="7B67080A"/>
    <w:rsid w:val="7F0BDE9E"/>
    <w:rsid w:val="FD9D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iPriority w:val="0"/>
    <w:pPr>
      <w:tabs>
        <w:tab w:val="left" w:pos="180"/>
      </w:tabs>
      <w:ind w:firstLine="640" w:firstLineChars="200"/>
      <w:jc w:val="left"/>
    </w:pPr>
    <w:rPr>
      <w:rFonts w:ascii="仿宋_GB2312" w:eastAsia="仿宋_GB2312"/>
      <w:color w:val="000000"/>
      <w:sz w:val="32"/>
      <w:szCs w:val="32"/>
    </w:rPr>
  </w:style>
  <w:style w:type="paragraph" w:styleId="4">
    <w:name w:val="Body Text Indent 2"/>
    <w:basedOn w:val="1"/>
    <w:qFormat/>
    <w:uiPriority w:val="0"/>
    <w:pPr>
      <w:tabs>
        <w:tab w:val="left" w:pos="180"/>
      </w:tabs>
      <w:ind w:firstLine="624" w:firstLineChars="195"/>
      <w:jc w:val="left"/>
    </w:pPr>
    <w:rPr>
      <w:rFonts w:ascii="仿宋_GB2312" w:eastAsia="仿宋_GB2312"/>
      <w:color w:val="000000"/>
      <w:sz w:val="32"/>
      <w:szCs w:val="32"/>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ind w:firstLine="640" w:firstLineChars="200"/>
    </w:pPr>
    <w:rPr>
      <w:rFonts w:ascii="仿宋_GB2312" w:hAnsi="宋体" w:eastAsia="仿宋_GB2312"/>
      <w:color w:val="000000"/>
      <w:sz w:val="32"/>
      <w:szCs w:val="32"/>
    </w:rPr>
  </w:style>
  <w:style w:type="paragraph" w:styleId="9">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2">
    <w:name w:val="page number"/>
    <w:qFormat/>
    <w:uiPriority w:val="0"/>
  </w:style>
  <w:style w:type="character" w:customStyle="1" w:styleId="13">
    <w:name w:val="HTML 预设格式 字符"/>
    <w:link w:val="9"/>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654</Words>
  <Characters>3734</Characters>
  <Lines>31</Lines>
  <Paragraphs>8</Paragraphs>
  <TotalTime>77</TotalTime>
  <ScaleCrop>false</ScaleCrop>
  <LinksUpToDate>false</LinksUpToDate>
  <CharactersWithSpaces>4380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2025-04-21T12:20:00Z</dcterms:created>
  <dc:creator>邱奇</dc:creator>
  <cp:lastModifiedBy>麻佩玲</cp:lastModifiedBy>
  <cp:lastPrinted>2025-04-25T01:14:48Z</cp:lastPrinted>
  <dcterms:modified xsi:type="dcterms:W3CDTF">2025-04-25T01:14:54Z</dcterms:modified>
  <dc:title>台州海事局辖区水上防台管理规定</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F827389A9E9B44948B24A5F9201E0021_13</vt:lpwstr>
  </property>
</Properties>
</file>