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center"/>
        <w:rPr>
          <w:rFonts w:ascii="方正小标宋简体" w:hAnsi="方正小标宋简体" w:eastAsia="方正小标宋简体" w:cs="方正小标宋简体"/>
          <w:bCs/>
          <w:color w:val="auto"/>
          <w:sz w:val="44"/>
          <w:szCs w:val="44"/>
          <w:highlight w:val="none"/>
        </w:rPr>
      </w:pPr>
      <w:r>
        <w:rPr>
          <w:rFonts w:hint="eastAsia" w:ascii="方正小标宋简体" w:hAnsi="方正小标宋简体" w:eastAsia="方正小标宋简体" w:cs="方正小标宋简体"/>
          <w:bCs/>
          <w:sz w:val="44"/>
          <w:szCs w:val="44"/>
        </w:rPr>
        <w:t>《嘉兴海事局辖区</w:t>
      </w:r>
      <w:r>
        <w:rPr>
          <w:rFonts w:hint="eastAsia" w:ascii="方正小标宋简体" w:hAnsi="方正小标宋简体" w:eastAsia="方正小标宋简体" w:cs="方正小标宋简体"/>
          <w:bCs/>
          <w:sz w:val="44"/>
          <w:szCs w:val="44"/>
          <w:lang w:eastAsia="zh-CN"/>
        </w:rPr>
        <w:t>水</w:t>
      </w:r>
      <w:r>
        <w:rPr>
          <w:rFonts w:hint="eastAsia" w:ascii="方正小标宋简体" w:hAnsi="方正小标宋简体" w:eastAsia="方正小标宋简体" w:cs="方正小标宋简体"/>
          <w:bCs/>
          <w:sz w:val="44"/>
          <w:szCs w:val="44"/>
        </w:rPr>
        <w:t>上防台</w:t>
      </w:r>
      <w:bookmarkStart w:id="0" w:name="_GoBack"/>
      <w:bookmarkEnd w:id="0"/>
      <w:r>
        <w:rPr>
          <w:rFonts w:hint="eastAsia" w:ascii="方正小标宋简体" w:hAnsi="方正小标宋简体" w:eastAsia="方正小标宋简体" w:cs="方正小标宋简体"/>
          <w:bCs/>
          <w:sz w:val="44"/>
          <w:szCs w:val="44"/>
        </w:rPr>
        <w:t>监督管理规定》</w:t>
      </w:r>
      <w:r>
        <w:rPr>
          <w:rFonts w:hint="eastAsia" w:ascii="方正小标宋简体" w:hAnsi="方正小标宋简体" w:eastAsia="方正小标宋简体" w:cs="方正小标宋简体"/>
          <w:bCs/>
          <w:color w:val="auto"/>
          <w:sz w:val="44"/>
          <w:szCs w:val="44"/>
          <w:highlight w:val="none"/>
        </w:rPr>
        <w:t>修订说明</w:t>
      </w:r>
    </w:p>
    <w:p>
      <w:pPr>
        <w:spacing w:line="580" w:lineRule="exact"/>
        <w:ind w:firstLine="640" w:firstLineChars="200"/>
        <w:rPr>
          <w:rFonts w:hint="eastAsia" w:ascii="仿宋_GB2312" w:hAnsi="仿宋_GB2312" w:eastAsia="仿宋_GB2312" w:cs="仿宋_GB2312"/>
          <w:color w:val="auto"/>
          <w:sz w:val="32"/>
          <w:szCs w:val="32"/>
          <w:highlight w:val="none"/>
        </w:rPr>
      </w:pPr>
    </w:p>
    <w:p>
      <w:pPr>
        <w:keepNext w:val="0"/>
        <w:keepLines w:val="0"/>
        <w:pageBreakBefore w:val="0"/>
        <w:widowControl w:val="0"/>
        <w:kinsoku/>
        <w:wordWrap/>
        <w:topLinePunct w:val="0"/>
        <w:bidi w:val="0"/>
        <w:spacing w:line="580" w:lineRule="exact"/>
        <w:ind w:firstLine="640" w:firstLineChars="200"/>
        <w:textAlignment w:val="auto"/>
        <w:rPr>
          <w:rFonts w:hint="eastAsia" w:ascii="仿宋_GB2312" w:hAnsi="仿宋_GB2312" w:eastAsia="仿宋_GB2312" w:cs="仿宋_GB2312"/>
          <w:color w:val="auto"/>
          <w:sz w:val="32"/>
          <w:szCs w:val="32"/>
          <w:highlight w:val="none"/>
          <w:lang w:val="en" w:eastAsia="zh-CN"/>
        </w:rPr>
      </w:pPr>
      <w:r>
        <w:rPr>
          <w:rFonts w:hint="eastAsia" w:ascii="仿宋_GB2312" w:hAnsi="仿宋_GB2312" w:eastAsia="仿宋_GB2312" w:cs="仿宋_GB2312"/>
          <w:color w:val="auto"/>
          <w:sz w:val="32"/>
          <w:szCs w:val="32"/>
          <w:highlight w:val="none"/>
        </w:rPr>
        <w:t>为加强台风季节海上安全监督管理，维护海上交通秩序，保障船舶、设施和人命财产的安全，根据《中华人民共和国海上交通安全法》《中华人民共和国防治船舶污染海洋环境管理条例》《浙江省防汛防台抗旱条例》</w:t>
      </w:r>
      <w:r>
        <w:rPr>
          <w:rFonts w:hint="eastAsia" w:ascii="仿宋_GB2312" w:hAnsi="仿宋" w:eastAsia="仿宋_GB2312"/>
          <w:color w:val="auto"/>
          <w:sz w:val="32"/>
          <w:szCs w:val="32"/>
        </w:rPr>
        <w:t>及其他有关法律、法规及规章</w:t>
      </w:r>
      <w:r>
        <w:rPr>
          <w:rFonts w:hint="eastAsia" w:ascii="仿宋_GB2312" w:hAnsi="仿宋_GB2312" w:eastAsia="仿宋_GB2312" w:cs="仿宋_GB2312"/>
          <w:color w:val="auto"/>
          <w:sz w:val="32"/>
          <w:szCs w:val="32"/>
          <w:highlight w:val="none"/>
        </w:rPr>
        <w:t>，结合实际，对《嘉兴海事局辖区海上防台安全监督管理规定》进行修订。现就该规定有关修订情况说明如下</w:t>
      </w:r>
      <w:r>
        <w:rPr>
          <w:rFonts w:hint="eastAsia" w:ascii="仿宋_GB2312" w:hAnsi="仿宋_GB2312" w:eastAsia="仿宋_GB2312" w:cs="仿宋_GB2312"/>
          <w:color w:val="auto"/>
          <w:sz w:val="32"/>
          <w:szCs w:val="32"/>
          <w:highlight w:val="none"/>
          <w:lang w:eastAsia="zh-CN"/>
        </w:rPr>
        <w:t>。</w:t>
      </w:r>
    </w:p>
    <w:p>
      <w:pPr>
        <w:keepNext w:val="0"/>
        <w:keepLines w:val="0"/>
        <w:pageBreakBefore w:val="0"/>
        <w:widowControl w:val="0"/>
        <w:kinsoku/>
        <w:wordWrap/>
        <w:topLinePunct w:val="0"/>
        <w:bidi w:val="0"/>
        <w:spacing w:line="580" w:lineRule="exact"/>
        <w:ind w:firstLine="640" w:firstLineChars="200"/>
        <w:jc w:val="left"/>
        <w:textAlignment w:val="auto"/>
        <w:rPr>
          <w:rFonts w:hint="eastAsia" w:ascii="黑体" w:hAnsi="黑体" w:eastAsia="黑体" w:cs="黑体"/>
          <w:b w:val="0"/>
          <w:bCs w:val="0"/>
          <w:color w:val="auto"/>
          <w:sz w:val="32"/>
          <w:szCs w:val="32"/>
          <w:highlight w:val="none"/>
        </w:rPr>
      </w:pPr>
      <w:r>
        <w:rPr>
          <w:rFonts w:hint="eastAsia" w:ascii="黑体" w:hAnsi="黑体" w:eastAsia="黑体" w:cs="黑体"/>
          <w:b w:val="0"/>
          <w:bCs w:val="0"/>
          <w:color w:val="auto"/>
          <w:sz w:val="32"/>
          <w:szCs w:val="32"/>
          <w:highlight w:val="none"/>
          <w:lang w:eastAsia="zh-CN"/>
        </w:rPr>
        <w:t>一、</w:t>
      </w:r>
      <w:r>
        <w:rPr>
          <w:rFonts w:hint="eastAsia" w:ascii="黑体" w:hAnsi="黑体" w:eastAsia="黑体" w:cs="黑体"/>
          <w:b w:val="0"/>
          <w:bCs w:val="0"/>
          <w:color w:val="auto"/>
          <w:sz w:val="32"/>
          <w:szCs w:val="32"/>
          <w:highlight w:val="none"/>
        </w:rPr>
        <w:t>修订背景和修订过程</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580" w:lineRule="exact"/>
        <w:ind w:firstLine="640" w:firstLineChars="200"/>
        <w:jc w:val="left"/>
        <w:textAlignment w:val="auto"/>
        <w:rPr>
          <w:rFonts w:hint="eastAsia" w:ascii="仿宋_GB2312" w:hAnsi="仿宋_GB2312" w:eastAsia="仿宋_GB2312" w:cs="仿宋_GB2312"/>
          <w:color w:val="auto"/>
          <w:sz w:val="32"/>
          <w:szCs w:val="32"/>
          <w:highlight w:val="none"/>
          <w:lang w:val="zh-CN"/>
        </w:rPr>
      </w:pPr>
      <w:r>
        <w:rPr>
          <w:rFonts w:hint="eastAsia" w:ascii="仿宋_GB2312" w:hAnsi="仿宋_GB2312" w:eastAsia="仿宋_GB2312" w:cs="仿宋_GB2312"/>
          <w:color w:val="auto"/>
          <w:sz w:val="32"/>
          <w:szCs w:val="32"/>
          <w:highlight w:val="none"/>
          <w:lang w:val="zh-CN"/>
        </w:rPr>
        <w:t>《嘉兴海事局辖区海上防台安全监督管理规定》（以下简称《</w:t>
      </w:r>
      <w:r>
        <w:rPr>
          <w:rFonts w:hint="eastAsia" w:ascii="仿宋_GB2312" w:hAnsi="仿宋_GB2312" w:eastAsia="仿宋_GB2312" w:cs="仿宋_GB2312"/>
          <w:color w:val="auto"/>
          <w:sz w:val="32"/>
          <w:szCs w:val="32"/>
          <w:highlight w:val="none"/>
          <w:lang w:val="en-US" w:eastAsia="zh-CN"/>
        </w:rPr>
        <w:t>规定</w:t>
      </w:r>
      <w:r>
        <w:rPr>
          <w:rFonts w:hint="eastAsia" w:ascii="仿宋_GB2312" w:hAnsi="仿宋_GB2312" w:eastAsia="仿宋_GB2312" w:cs="仿宋_GB2312"/>
          <w:color w:val="auto"/>
          <w:sz w:val="32"/>
          <w:szCs w:val="32"/>
          <w:highlight w:val="none"/>
          <w:lang w:val="zh-CN"/>
        </w:rPr>
        <w:t>》）自20</w:t>
      </w:r>
      <w:r>
        <w:rPr>
          <w:rFonts w:hint="eastAsia" w:ascii="仿宋_GB2312" w:hAnsi="仿宋_GB2312" w:eastAsia="仿宋_GB2312" w:cs="仿宋_GB2312"/>
          <w:color w:val="auto"/>
          <w:sz w:val="32"/>
          <w:szCs w:val="32"/>
          <w:highlight w:val="none"/>
          <w:lang w:val="en-US" w:eastAsia="zh-CN"/>
        </w:rPr>
        <w:t>13</w:t>
      </w:r>
      <w:r>
        <w:rPr>
          <w:rFonts w:hint="eastAsia" w:ascii="仿宋_GB2312" w:hAnsi="仿宋_GB2312" w:eastAsia="仿宋_GB2312" w:cs="仿宋_GB2312"/>
          <w:color w:val="auto"/>
          <w:sz w:val="32"/>
          <w:szCs w:val="32"/>
          <w:highlight w:val="none"/>
          <w:lang w:val="zh-CN"/>
        </w:rPr>
        <w:t>年</w:t>
      </w:r>
      <w:r>
        <w:rPr>
          <w:rFonts w:hint="eastAsia" w:ascii="仿宋_GB2312" w:hAnsi="仿宋_GB2312" w:eastAsia="仿宋_GB2312" w:cs="仿宋_GB2312"/>
          <w:color w:val="auto"/>
          <w:sz w:val="32"/>
          <w:szCs w:val="32"/>
          <w:highlight w:val="none"/>
          <w:lang w:val="en-US" w:eastAsia="zh-CN"/>
        </w:rPr>
        <w:t>1</w:t>
      </w:r>
      <w:r>
        <w:rPr>
          <w:rFonts w:hint="eastAsia" w:ascii="仿宋_GB2312" w:hAnsi="仿宋_GB2312" w:eastAsia="仿宋_GB2312" w:cs="仿宋_GB2312"/>
          <w:color w:val="auto"/>
          <w:sz w:val="32"/>
          <w:szCs w:val="32"/>
          <w:highlight w:val="none"/>
          <w:lang w:val="zh-CN"/>
        </w:rPr>
        <w:t>月1日起施行，共分</w:t>
      </w:r>
      <w:r>
        <w:rPr>
          <w:rFonts w:hint="eastAsia" w:ascii="仿宋_GB2312" w:hAnsi="仿宋_GB2312" w:eastAsia="仿宋_GB2312" w:cs="仿宋_GB2312"/>
          <w:color w:val="auto"/>
          <w:sz w:val="32"/>
          <w:szCs w:val="32"/>
          <w:highlight w:val="none"/>
          <w:lang w:val="en-US" w:eastAsia="zh-CN"/>
        </w:rPr>
        <w:t>十七</w:t>
      </w:r>
      <w:r>
        <w:rPr>
          <w:rFonts w:hint="eastAsia" w:ascii="仿宋_GB2312" w:hAnsi="仿宋_GB2312" w:eastAsia="仿宋_GB2312" w:cs="仿宋_GB2312"/>
          <w:color w:val="auto"/>
          <w:sz w:val="32"/>
          <w:szCs w:val="32"/>
          <w:highlight w:val="none"/>
          <w:lang w:val="zh-CN"/>
        </w:rPr>
        <w:t>条，内容涉及</w:t>
      </w:r>
      <w:r>
        <w:rPr>
          <w:rFonts w:hint="eastAsia" w:ascii="仿宋_GB2312" w:hAnsi="仿宋_GB2312" w:eastAsia="仿宋_GB2312" w:cs="仿宋_GB2312"/>
          <w:color w:val="auto"/>
          <w:sz w:val="32"/>
          <w:szCs w:val="32"/>
          <w:highlight w:val="none"/>
          <w:lang w:val="en-US" w:eastAsia="zh-CN"/>
        </w:rPr>
        <w:t>防台戒备、准备、实施和抗击四个阶段的发布标准和各阶段船舶及水上防台单位的工作要求</w:t>
      </w:r>
      <w:r>
        <w:rPr>
          <w:rFonts w:hint="eastAsia" w:ascii="仿宋_GB2312" w:hAnsi="仿宋_GB2312" w:eastAsia="仿宋_GB2312" w:cs="仿宋_GB2312"/>
          <w:color w:val="auto"/>
          <w:sz w:val="32"/>
          <w:szCs w:val="32"/>
          <w:highlight w:val="none"/>
          <w:lang w:val="zh-CN"/>
        </w:rPr>
        <w:t>。《规定》的实施对辖区</w:t>
      </w:r>
      <w:r>
        <w:rPr>
          <w:rFonts w:hint="eastAsia" w:ascii="仿宋_GB2312" w:hAnsi="仿宋_GB2312" w:eastAsia="仿宋_GB2312" w:cs="仿宋_GB2312"/>
          <w:color w:val="auto"/>
          <w:sz w:val="32"/>
          <w:szCs w:val="32"/>
          <w:highlight w:val="none"/>
          <w:lang w:val="en-US" w:eastAsia="zh-CN"/>
        </w:rPr>
        <w:t>防抗台风发挥</w:t>
      </w:r>
      <w:r>
        <w:rPr>
          <w:rFonts w:hint="eastAsia" w:ascii="仿宋_GB2312" w:hAnsi="仿宋_GB2312" w:eastAsia="仿宋_GB2312" w:cs="仿宋_GB2312"/>
          <w:color w:val="auto"/>
          <w:sz w:val="32"/>
          <w:szCs w:val="32"/>
          <w:highlight w:val="none"/>
          <w:lang w:val="zh-CN"/>
        </w:rPr>
        <w:t>了积极的作用，为主管机关履职提供了法律依据。</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580" w:lineRule="exact"/>
        <w:ind w:firstLine="640" w:firstLineChars="200"/>
        <w:jc w:val="left"/>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本次修订必要性主要考虑以下三方面：</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580" w:lineRule="exact"/>
        <w:ind w:firstLine="642" w:firstLineChars="200"/>
        <w:jc w:val="left"/>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从上位法角度，</w:t>
      </w:r>
      <w:r>
        <w:rPr>
          <w:rFonts w:hint="eastAsia" w:ascii="仿宋_GB2312" w:hAnsi="仿宋_GB2312" w:eastAsia="仿宋_GB2312" w:cs="仿宋_GB2312"/>
          <w:color w:val="auto"/>
          <w:sz w:val="32"/>
          <w:szCs w:val="32"/>
          <w:highlight w:val="none"/>
          <w:lang w:val="en-US" w:eastAsia="zh-CN"/>
        </w:rPr>
        <w:t>2021年9月1日，新版《中华人民共和国海上交通安全法》生效，</w:t>
      </w:r>
      <w:r>
        <w:rPr>
          <w:rFonts w:hint="eastAsia" w:ascii="仿宋_GB2312" w:eastAsia="仿宋_GB2312"/>
          <w:bCs/>
          <w:color w:val="auto"/>
          <w:sz w:val="32"/>
          <w:szCs w:val="32"/>
          <w:highlight w:val="none"/>
        </w:rPr>
        <w:t>《</w:t>
      </w:r>
      <w:r>
        <w:rPr>
          <w:rFonts w:hint="eastAsia" w:ascii="仿宋_GB2312" w:eastAsia="仿宋_GB2312"/>
          <w:bCs/>
          <w:color w:val="auto"/>
          <w:sz w:val="32"/>
          <w:szCs w:val="32"/>
          <w:highlight w:val="none"/>
          <w:lang w:val="en-US" w:eastAsia="zh-CN"/>
        </w:rPr>
        <w:t>规定</w:t>
      </w:r>
      <w:r>
        <w:rPr>
          <w:rFonts w:hint="eastAsia" w:ascii="仿宋_GB2312" w:eastAsia="仿宋_GB2312"/>
          <w:bCs/>
          <w:color w:val="auto"/>
          <w:sz w:val="32"/>
          <w:szCs w:val="32"/>
          <w:highlight w:val="none"/>
        </w:rPr>
        <w:t>》与新法的适配和衔接不够紧密，需要通过修订</w:t>
      </w:r>
      <w:r>
        <w:rPr>
          <w:rFonts w:hint="eastAsia" w:ascii="仿宋_GB2312" w:eastAsia="仿宋_GB2312"/>
          <w:bCs/>
          <w:color w:val="auto"/>
          <w:sz w:val="32"/>
          <w:szCs w:val="32"/>
          <w:highlight w:val="none"/>
          <w:lang w:eastAsia="zh-CN"/>
        </w:rPr>
        <w:t>对相关条款进行细化解读。</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580" w:lineRule="exact"/>
        <w:ind w:firstLine="642" w:firstLineChars="200"/>
        <w:jc w:val="left"/>
        <w:textAlignment w:val="auto"/>
        <w:rPr>
          <w:rFonts w:hint="eastAsia" w:ascii="仿宋_GB2312" w:hAnsi="仿宋_GB2312" w:eastAsia="仿宋_GB2312" w:cs="仿宋_GB2312"/>
          <w:color w:val="auto"/>
          <w:sz w:val="32"/>
          <w:szCs w:val="32"/>
          <w:highlight w:val="none"/>
          <w:lang w:val="zh-CN"/>
        </w:rPr>
      </w:pPr>
      <w:r>
        <w:rPr>
          <w:rFonts w:hint="eastAsia" w:ascii="仿宋_GB2312" w:hAnsi="仿宋_GB2312" w:eastAsia="仿宋_GB2312" w:cs="仿宋_GB2312"/>
          <w:b/>
          <w:bCs/>
          <w:color w:val="auto"/>
          <w:sz w:val="32"/>
          <w:szCs w:val="32"/>
          <w:highlight w:val="none"/>
          <w:lang w:val="zh-CN"/>
        </w:rPr>
        <w:t>从规范性文件有效性角度，</w:t>
      </w:r>
      <w:r>
        <w:rPr>
          <w:rFonts w:hint="eastAsia" w:ascii="仿宋_GB2312" w:hAnsi="仿宋_GB2312" w:eastAsia="仿宋_GB2312" w:cs="仿宋_GB2312"/>
          <w:color w:val="auto"/>
          <w:sz w:val="32"/>
          <w:szCs w:val="32"/>
          <w:highlight w:val="none"/>
          <w:lang w:val="zh-CN"/>
        </w:rPr>
        <w:t>根据交通运输部海事局印发《海事行政规范性文件制定和管理办法》《浙江海事局海事行政规范性文件制定和管理办法》规定：起草规范性文件，应当明确施行日期和有效期，有效期自文件施行之日起一般不超过 5 年。而现行《</w:t>
      </w:r>
      <w:r>
        <w:rPr>
          <w:rFonts w:hint="eastAsia" w:ascii="仿宋_GB2312" w:hAnsi="仿宋_GB2312" w:eastAsia="仿宋_GB2312" w:cs="仿宋_GB2312"/>
          <w:color w:val="auto"/>
          <w:sz w:val="32"/>
          <w:szCs w:val="32"/>
          <w:highlight w:val="none"/>
          <w:lang w:val="en-US" w:eastAsia="zh-CN"/>
        </w:rPr>
        <w:t>规定</w:t>
      </w:r>
      <w:r>
        <w:rPr>
          <w:rFonts w:hint="eastAsia" w:ascii="仿宋_GB2312" w:hAnsi="仿宋_GB2312" w:eastAsia="仿宋_GB2312" w:cs="仿宋_GB2312"/>
          <w:color w:val="auto"/>
          <w:sz w:val="32"/>
          <w:szCs w:val="32"/>
          <w:highlight w:val="none"/>
          <w:lang w:val="zh-CN"/>
        </w:rPr>
        <w:t>》自20</w:t>
      </w:r>
      <w:r>
        <w:rPr>
          <w:rFonts w:hint="eastAsia" w:ascii="仿宋_GB2312" w:hAnsi="仿宋_GB2312" w:eastAsia="仿宋_GB2312" w:cs="仿宋_GB2312"/>
          <w:color w:val="auto"/>
          <w:sz w:val="32"/>
          <w:szCs w:val="32"/>
          <w:highlight w:val="none"/>
          <w:lang w:val="en-US" w:eastAsia="zh-CN"/>
        </w:rPr>
        <w:t>13</w:t>
      </w:r>
      <w:r>
        <w:rPr>
          <w:rFonts w:hint="eastAsia" w:ascii="仿宋_GB2312" w:hAnsi="仿宋_GB2312" w:eastAsia="仿宋_GB2312" w:cs="仿宋_GB2312"/>
          <w:color w:val="auto"/>
          <w:sz w:val="32"/>
          <w:szCs w:val="32"/>
          <w:highlight w:val="none"/>
          <w:lang w:val="zh-CN"/>
        </w:rPr>
        <w:t>年</w:t>
      </w:r>
      <w:r>
        <w:rPr>
          <w:rFonts w:hint="eastAsia" w:ascii="仿宋_GB2312" w:hAnsi="仿宋_GB2312" w:eastAsia="仿宋_GB2312" w:cs="仿宋_GB2312"/>
          <w:color w:val="auto"/>
          <w:sz w:val="32"/>
          <w:szCs w:val="32"/>
          <w:highlight w:val="none"/>
          <w:lang w:val="en-US" w:eastAsia="zh-CN"/>
        </w:rPr>
        <w:t>1</w:t>
      </w:r>
      <w:r>
        <w:rPr>
          <w:rFonts w:hint="eastAsia" w:ascii="仿宋_GB2312" w:hAnsi="仿宋_GB2312" w:eastAsia="仿宋_GB2312" w:cs="仿宋_GB2312"/>
          <w:color w:val="auto"/>
          <w:sz w:val="32"/>
          <w:szCs w:val="32"/>
          <w:highlight w:val="none"/>
          <w:lang w:val="zh-CN"/>
        </w:rPr>
        <w:t>月1日起施行，亟需修订起草新《</w:t>
      </w:r>
      <w:r>
        <w:rPr>
          <w:rFonts w:hint="eastAsia" w:ascii="仿宋_GB2312" w:hAnsi="仿宋_GB2312" w:eastAsia="仿宋_GB2312" w:cs="仿宋_GB2312"/>
          <w:color w:val="auto"/>
          <w:sz w:val="32"/>
          <w:szCs w:val="32"/>
          <w:highlight w:val="none"/>
          <w:lang w:val="en-US" w:eastAsia="zh-CN"/>
        </w:rPr>
        <w:t>规定</w:t>
      </w:r>
      <w:r>
        <w:rPr>
          <w:rFonts w:hint="eastAsia" w:ascii="仿宋_GB2312" w:hAnsi="仿宋_GB2312" w:eastAsia="仿宋_GB2312" w:cs="仿宋_GB2312"/>
          <w:color w:val="auto"/>
          <w:sz w:val="32"/>
          <w:szCs w:val="32"/>
          <w:highlight w:val="none"/>
          <w:lang w:val="zh-CN"/>
        </w:rPr>
        <w:t>》。</w:t>
      </w:r>
    </w:p>
    <w:p>
      <w:pPr>
        <w:pStyle w:val="2"/>
        <w:rPr>
          <w:rFonts w:hint="eastAsia" w:ascii="仿宋_GB2312" w:hAnsi="仿宋_GB2312" w:eastAsia="仿宋_GB2312" w:cs="仿宋_GB2312"/>
          <w:color w:val="auto"/>
          <w:sz w:val="32"/>
          <w:szCs w:val="32"/>
          <w:highlight w:val="none"/>
          <w:lang w:val="zh-CN"/>
        </w:rPr>
      </w:pPr>
      <w:r>
        <w:rPr>
          <w:rFonts w:hint="eastAsia" w:ascii="仿宋_GB2312" w:hAnsi="仿宋_GB2312" w:eastAsia="仿宋_GB2312" w:cs="仿宋_GB2312"/>
          <w:b/>
          <w:bCs/>
          <w:color w:val="auto"/>
          <w:kern w:val="2"/>
          <w:sz w:val="32"/>
          <w:szCs w:val="32"/>
          <w:highlight w:val="none"/>
          <w:lang w:val="zh-CN" w:eastAsia="zh-CN" w:bidi="ar-SA"/>
        </w:rPr>
        <w:t>从日常监管需求角度，</w:t>
      </w:r>
      <w:r>
        <w:rPr>
          <w:rFonts w:hint="eastAsia" w:ascii="仿宋_GB2312" w:hAnsi="仿宋_GB2312" w:eastAsia="仿宋_GB2312" w:cs="仿宋_GB2312"/>
          <w:color w:val="auto"/>
          <w:sz w:val="32"/>
          <w:szCs w:val="32"/>
          <w:highlight w:val="none"/>
          <w:lang w:val="zh-CN"/>
        </w:rPr>
        <w:t>根据《</w:t>
      </w:r>
      <w:r>
        <w:rPr>
          <w:rFonts w:hint="eastAsia" w:ascii="仿宋_GB2312" w:hAnsi="仿宋_GB2312" w:eastAsia="仿宋_GB2312" w:cs="仿宋_GB2312"/>
          <w:color w:val="auto"/>
          <w:sz w:val="32"/>
          <w:szCs w:val="32"/>
          <w:highlight w:val="none"/>
          <w:lang w:val="en-US" w:eastAsia="zh-CN"/>
        </w:rPr>
        <w:t>防台期间船舶避风水域选择和使用技术指南（试行）</w:t>
      </w:r>
      <w:r>
        <w:rPr>
          <w:rFonts w:hint="eastAsia" w:ascii="仿宋_GB2312" w:hAnsi="仿宋_GB2312" w:eastAsia="仿宋_GB2312" w:cs="仿宋_GB2312"/>
          <w:color w:val="auto"/>
          <w:sz w:val="32"/>
          <w:szCs w:val="32"/>
          <w:highlight w:val="none"/>
          <w:lang w:val="zh-CN"/>
        </w:rPr>
        <w:t>》以及《</w:t>
      </w:r>
      <w:r>
        <w:rPr>
          <w:rFonts w:hint="eastAsia" w:ascii="仿宋_GB2312" w:hAnsi="仿宋_GB2312" w:eastAsia="仿宋_GB2312" w:cs="仿宋_GB2312"/>
          <w:color w:val="auto"/>
          <w:sz w:val="32"/>
          <w:szCs w:val="32"/>
          <w:highlight w:val="none"/>
          <w:lang w:val="en-US" w:eastAsia="zh-CN"/>
        </w:rPr>
        <w:t>船舶防台风指南（试行）</w:t>
      </w:r>
      <w:r>
        <w:rPr>
          <w:rFonts w:hint="eastAsia" w:ascii="仿宋_GB2312" w:hAnsi="仿宋_GB2312" w:eastAsia="仿宋_GB2312" w:cs="仿宋_GB2312"/>
          <w:color w:val="auto"/>
          <w:sz w:val="32"/>
          <w:szCs w:val="32"/>
          <w:highlight w:val="none"/>
          <w:lang w:val="zh-CN"/>
        </w:rPr>
        <w:t>》文件要求，原《</w:t>
      </w:r>
      <w:r>
        <w:rPr>
          <w:rFonts w:hint="eastAsia" w:ascii="仿宋_GB2312" w:hAnsi="仿宋_GB2312" w:eastAsia="仿宋_GB2312" w:cs="仿宋_GB2312"/>
          <w:color w:val="auto"/>
          <w:sz w:val="32"/>
          <w:szCs w:val="32"/>
          <w:highlight w:val="none"/>
          <w:lang w:val="en-US" w:eastAsia="zh-CN"/>
        </w:rPr>
        <w:t>规定</w:t>
      </w:r>
      <w:r>
        <w:rPr>
          <w:rFonts w:hint="eastAsia" w:ascii="仿宋_GB2312" w:hAnsi="仿宋_GB2312" w:eastAsia="仿宋_GB2312" w:cs="仿宋_GB2312"/>
          <w:color w:val="auto"/>
          <w:sz w:val="32"/>
          <w:szCs w:val="32"/>
          <w:highlight w:val="none"/>
          <w:lang w:val="zh-CN"/>
        </w:rPr>
        <w:t>》部分条款已无法满足日常监管需求，需修订完善。</w:t>
      </w:r>
    </w:p>
    <w:p>
      <w:pPr>
        <w:keepNext w:val="0"/>
        <w:keepLines w:val="0"/>
        <w:pageBreakBefore w:val="0"/>
        <w:widowControl w:val="0"/>
        <w:kinsoku/>
        <w:wordWrap/>
        <w:topLinePunct w:val="0"/>
        <w:bidi w:val="0"/>
        <w:spacing w:line="580" w:lineRule="exact"/>
        <w:ind w:firstLine="640" w:firstLineChars="200"/>
        <w:jc w:val="left"/>
        <w:textAlignment w:val="auto"/>
        <w:rPr>
          <w:rFonts w:hint="eastAsia" w:ascii="黑体" w:hAnsi="黑体" w:eastAsia="黑体" w:cs="黑体"/>
          <w:b w:val="0"/>
          <w:bCs w:val="0"/>
          <w:color w:val="auto"/>
          <w:sz w:val="32"/>
          <w:szCs w:val="32"/>
          <w:highlight w:val="none"/>
          <w:lang w:eastAsia="zh-CN"/>
        </w:rPr>
      </w:pPr>
      <w:r>
        <w:rPr>
          <w:rFonts w:hint="eastAsia" w:ascii="黑体" w:hAnsi="黑体" w:eastAsia="黑体" w:cs="黑体"/>
          <w:b w:val="0"/>
          <w:bCs w:val="0"/>
          <w:color w:val="auto"/>
          <w:sz w:val="32"/>
          <w:szCs w:val="32"/>
          <w:highlight w:val="none"/>
          <w:lang w:eastAsia="zh-CN"/>
        </w:rPr>
        <w:t>二、修订依据</w:t>
      </w:r>
    </w:p>
    <w:p>
      <w:pPr>
        <w:pStyle w:val="2"/>
        <w:keepNext w:val="0"/>
        <w:keepLines w:val="0"/>
        <w:pageBreakBefore w:val="0"/>
        <w:widowControl w:val="0"/>
        <w:kinsoku/>
        <w:wordWrap/>
        <w:topLinePunct w:val="0"/>
        <w:bidi w:val="0"/>
        <w:spacing w:line="580" w:lineRule="exact"/>
        <w:textAlignment w:val="auto"/>
        <w:rPr>
          <w:rFonts w:hint="default" w:ascii="仿宋_GB2312" w:hAnsi="仿宋_GB2312" w:eastAsia="仿宋_GB2312" w:cs="仿宋_GB2312"/>
          <w:color w:val="auto"/>
          <w:sz w:val="32"/>
          <w:szCs w:val="32"/>
          <w:highlight w:val="none"/>
          <w:lang w:val="en" w:eastAsia="zh-CN"/>
        </w:rPr>
      </w:pPr>
      <w:r>
        <w:rPr>
          <w:rFonts w:hint="eastAsia" w:ascii="仿宋_GB2312" w:hAnsi="仿宋_GB2312" w:eastAsia="仿宋_GB2312" w:cs="仿宋_GB2312"/>
          <w:color w:val="auto"/>
          <w:sz w:val="32"/>
          <w:szCs w:val="32"/>
          <w:highlight w:val="none"/>
          <w:lang w:val="en-US" w:eastAsia="zh-CN"/>
        </w:rPr>
        <w:t>1.</w:t>
      </w:r>
      <w:r>
        <w:rPr>
          <w:rFonts w:hint="eastAsia" w:ascii="仿宋_GB2312" w:hAnsi="仿宋_GB2312" w:eastAsia="仿宋_GB2312" w:cs="仿宋_GB2312"/>
          <w:color w:val="auto"/>
          <w:sz w:val="32"/>
          <w:szCs w:val="32"/>
          <w:highlight w:val="none"/>
        </w:rPr>
        <w:t>《中华人民共和国海上交通安全法》</w:t>
      </w:r>
      <w:r>
        <w:rPr>
          <w:rFonts w:hint="eastAsia" w:ascii="仿宋_GB2312" w:hAnsi="仿宋_GB2312" w:eastAsia="仿宋_GB2312" w:cs="仿宋_GB2312"/>
          <w:color w:val="auto"/>
          <w:sz w:val="32"/>
          <w:szCs w:val="32"/>
          <w:highlight w:val="none"/>
          <w:lang w:eastAsia="zh-CN"/>
        </w:rPr>
        <w:t>（以下简称新海交法）</w:t>
      </w:r>
      <w:r>
        <w:rPr>
          <w:rFonts w:hint="default" w:ascii="仿宋_GB2312" w:hAnsi="仿宋_GB2312" w:eastAsia="仿宋_GB2312" w:cs="仿宋_GB2312"/>
          <w:color w:val="auto"/>
          <w:sz w:val="32"/>
          <w:szCs w:val="32"/>
          <w:highlight w:val="none"/>
          <w:lang w:val="en" w:eastAsia="zh-CN"/>
        </w:rPr>
        <w:t>;</w:t>
      </w:r>
    </w:p>
    <w:p>
      <w:pPr>
        <w:pStyle w:val="2"/>
        <w:keepNext w:val="0"/>
        <w:keepLines w:val="0"/>
        <w:pageBreakBefore w:val="0"/>
        <w:widowControl w:val="0"/>
        <w:kinsoku/>
        <w:wordWrap/>
        <w:topLinePunct w:val="0"/>
        <w:bidi w:val="0"/>
        <w:spacing w:line="580" w:lineRule="exact"/>
        <w:textAlignment w:val="auto"/>
        <w:rPr>
          <w:rFonts w:hint="default" w:ascii="仿宋_GB2312" w:hAnsi="仿宋_GB2312" w:eastAsia="仿宋_GB2312" w:cs="仿宋_GB2312"/>
          <w:color w:val="auto"/>
          <w:sz w:val="32"/>
          <w:szCs w:val="32"/>
          <w:highlight w:val="none"/>
          <w:lang w:val="en" w:eastAsia="zh-CN"/>
        </w:rPr>
      </w:pPr>
      <w:r>
        <w:rPr>
          <w:rFonts w:hint="eastAsia" w:ascii="仿宋_GB2312" w:hAnsi="仿宋_GB2312" w:eastAsia="仿宋_GB2312" w:cs="仿宋_GB2312"/>
          <w:color w:val="auto"/>
          <w:sz w:val="32"/>
          <w:szCs w:val="32"/>
          <w:highlight w:val="none"/>
          <w:lang w:val="en-US" w:eastAsia="zh-CN"/>
        </w:rPr>
        <w:t>2.</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防台期间船舶避风水域选择和使用技术指南（试行）</w:t>
      </w:r>
      <w:r>
        <w:rPr>
          <w:rFonts w:hint="eastAsia" w:ascii="仿宋_GB2312" w:hAnsi="仿宋_GB2312" w:eastAsia="仿宋_GB2312" w:cs="仿宋_GB2312"/>
          <w:color w:val="auto"/>
          <w:sz w:val="32"/>
          <w:szCs w:val="32"/>
          <w:highlight w:val="none"/>
          <w:lang w:eastAsia="zh-CN"/>
        </w:rPr>
        <w:t>》</w:t>
      </w:r>
      <w:r>
        <w:rPr>
          <w:rFonts w:hint="default" w:ascii="仿宋_GB2312" w:hAnsi="仿宋_GB2312" w:eastAsia="仿宋_GB2312" w:cs="仿宋_GB2312"/>
          <w:color w:val="auto"/>
          <w:sz w:val="32"/>
          <w:szCs w:val="32"/>
          <w:highlight w:val="none"/>
          <w:lang w:val="en" w:eastAsia="zh-CN"/>
        </w:rPr>
        <w:t>;</w:t>
      </w:r>
    </w:p>
    <w:p>
      <w:pPr>
        <w:pStyle w:val="2"/>
        <w:keepNext w:val="0"/>
        <w:keepLines w:val="0"/>
        <w:pageBreakBefore w:val="0"/>
        <w:widowControl w:val="0"/>
        <w:kinsoku/>
        <w:wordWrap/>
        <w:topLinePunct w:val="0"/>
        <w:bidi w:val="0"/>
        <w:spacing w:line="580" w:lineRule="exact"/>
        <w:textAlignment w:val="auto"/>
        <w:rPr>
          <w:rFonts w:hint="default" w:ascii="仿宋_GB2312" w:hAnsi="仿宋_GB2312" w:eastAsia="仿宋_GB2312" w:cs="仿宋_GB2312"/>
          <w:color w:val="auto"/>
          <w:sz w:val="32"/>
          <w:szCs w:val="32"/>
          <w:highlight w:val="none"/>
          <w:lang w:val="en" w:eastAsia="zh-CN"/>
        </w:rPr>
      </w:pPr>
      <w:r>
        <w:rPr>
          <w:rFonts w:hint="eastAsia" w:ascii="仿宋_GB2312" w:hAnsi="仿宋_GB2312" w:eastAsia="仿宋_GB2312" w:cs="仿宋_GB2312"/>
          <w:color w:val="auto"/>
          <w:sz w:val="32"/>
          <w:szCs w:val="32"/>
          <w:highlight w:val="none"/>
          <w:lang w:val="en-US" w:eastAsia="zh-CN"/>
        </w:rPr>
        <w:t>3.</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船舶防台风指南（试行）》</w:t>
      </w:r>
      <w:r>
        <w:rPr>
          <w:rFonts w:hint="default" w:ascii="仿宋_GB2312" w:hAnsi="仿宋_GB2312" w:eastAsia="仿宋_GB2312" w:cs="仿宋_GB2312"/>
          <w:color w:val="auto"/>
          <w:sz w:val="32"/>
          <w:szCs w:val="32"/>
          <w:highlight w:val="none"/>
          <w:lang w:val="en" w:eastAsia="zh-CN"/>
        </w:rPr>
        <w:t>;</w:t>
      </w:r>
    </w:p>
    <w:p>
      <w:pPr>
        <w:pStyle w:val="2"/>
        <w:keepNext w:val="0"/>
        <w:keepLines w:val="0"/>
        <w:pageBreakBefore w:val="0"/>
        <w:widowControl w:val="0"/>
        <w:kinsoku/>
        <w:wordWrap/>
        <w:topLinePunct w:val="0"/>
        <w:bidi w:val="0"/>
        <w:spacing w:line="580" w:lineRule="exact"/>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嘉兴海事局防台预案》等。</w:t>
      </w:r>
    </w:p>
    <w:p>
      <w:pPr>
        <w:keepNext w:val="0"/>
        <w:keepLines w:val="0"/>
        <w:pageBreakBefore w:val="0"/>
        <w:widowControl w:val="0"/>
        <w:kinsoku/>
        <w:wordWrap/>
        <w:topLinePunct w:val="0"/>
        <w:bidi w:val="0"/>
        <w:spacing w:line="580" w:lineRule="exact"/>
        <w:ind w:firstLine="640" w:firstLineChars="200"/>
        <w:jc w:val="left"/>
        <w:textAlignment w:val="auto"/>
        <w:rPr>
          <w:rFonts w:hint="eastAsia" w:ascii="黑体" w:hAnsi="黑体" w:eastAsia="黑体" w:cs="黑体"/>
          <w:b w:val="0"/>
          <w:bCs w:val="0"/>
          <w:color w:val="auto"/>
          <w:sz w:val="32"/>
          <w:szCs w:val="32"/>
          <w:highlight w:val="none"/>
          <w:lang w:eastAsia="zh-CN"/>
        </w:rPr>
      </w:pPr>
      <w:r>
        <w:rPr>
          <w:rFonts w:hint="eastAsia" w:ascii="黑体" w:hAnsi="黑体" w:eastAsia="黑体" w:cs="黑体"/>
          <w:b w:val="0"/>
          <w:bCs w:val="0"/>
          <w:color w:val="auto"/>
          <w:sz w:val="32"/>
          <w:szCs w:val="32"/>
          <w:highlight w:val="none"/>
          <w:lang w:eastAsia="zh-CN"/>
        </w:rPr>
        <w:t>三、主要修订内容</w:t>
      </w:r>
    </w:p>
    <w:p>
      <w:pPr>
        <w:pStyle w:val="2"/>
        <w:keepNext w:val="0"/>
        <w:keepLines w:val="0"/>
        <w:pageBreakBefore w:val="0"/>
        <w:widowControl w:val="0"/>
        <w:kinsoku/>
        <w:wordWrap/>
        <w:topLinePunct w:val="0"/>
        <w:bidi w:val="0"/>
        <w:spacing w:line="580" w:lineRule="exact"/>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eastAsia="zh-CN"/>
        </w:rPr>
        <w:t>新《</w:t>
      </w:r>
      <w:r>
        <w:rPr>
          <w:rFonts w:hint="eastAsia" w:ascii="仿宋_GB2312" w:hAnsi="仿宋_GB2312" w:eastAsia="仿宋_GB2312" w:cs="仿宋_GB2312"/>
          <w:color w:val="auto"/>
          <w:sz w:val="32"/>
          <w:szCs w:val="32"/>
          <w:highlight w:val="none"/>
          <w:lang w:val="en-US" w:eastAsia="zh-CN"/>
        </w:rPr>
        <w:t>规定</w:t>
      </w:r>
      <w:r>
        <w:rPr>
          <w:rFonts w:hint="eastAsia" w:ascii="仿宋_GB2312" w:hAnsi="仿宋_GB2312" w:eastAsia="仿宋_GB2312" w:cs="仿宋_GB2312"/>
          <w:color w:val="auto"/>
          <w:sz w:val="32"/>
          <w:szCs w:val="32"/>
          <w:highlight w:val="none"/>
          <w:lang w:eastAsia="zh-CN"/>
        </w:rPr>
        <w:t>》修订后共分</w:t>
      </w:r>
      <w:r>
        <w:rPr>
          <w:rFonts w:hint="eastAsia" w:ascii="仿宋_GB2312" w:hAnsi="仿宋_GB2312" w:eastAsia="仿宋_GB2312" w:cs="仿宋_GB2312"/>
          <w:color w:val="auto"/>
          <w:sz w:val="32"/>
          <w:szCs w:val="32"/>
          <w:highlight w:val="none"/>
          <w:lang w:val="en-US" w:eastAsia="zh-CN"/>
        </w:rPr>
        <w:t>十七</w:t>
      </w:r>
      <w:r>
        <w:rPr>
          <w:rFonts w:hint="eastAsia" w:ascii="仿宋_GB2312" w:hAnsi="仿宋_GB2312" w:eastAsia="仿宋_GB2312" w:cs="仿宋_GB2312"/>
          <w:color w:val="auto"/>
          <w:sz w:val="32"/>
          <w:szCs w:val="32"/>
          <w:highlight w:val="none"/>
          <w:lang w:eastAsia="zh-CN"/>
        </w:rPr>
        <w:t>条，较</w:t>
      </w:r>
      <w:r>
        <w:rPr>
          <w:rFonts w:hint="eastAsia" w:ascii="仿宋_GB2312" w:hAnsi="仿宋_GB2312" w:eastAsia="仿宋_GB2312" w:cs="仿宋_GB2312"/>
          <w:color w:val="auto"/>
          <w:sz w:val="32"/>
          <w:szCs w:val="32"/>
          <w:highlight w:val="none"/>
          <w:lang w:val="en-US" w:eastAsia="zh-CN"/>
        </w:rPr>
        <w:t>2013版规定，在条文方面，</w:t>
      </w:r>
      <w:r>
        <w:rPr>
          <w:rFonts w:hint="eastAsia" w:ascii="仿宋_GB2312" w:hAnsi="仿宋_GB2312" w:eastAsia="仿宋_GB2312" w:cs="仿宋_GB2312"/>
          <w:color w:val="auto"/>
          <w:sz w:val="32"/>
          <w:szCs w:val="32"/>
          <w:highlight w:val="none"/>
          <w:lang w:eastAsia="zh-CN"/>
        </w:rPr>
        <w:t>删除原《规定》</w:t>
      </w:r>
      <w:r>
        <w:rPr>
          <w:rFonts w:hint="eastAsia" w:ascii="仿宋_GB2312" w:hAnsi="仿宋_GB2312" w:eastAsia="仿宋_GB2312" w:cs="仿宋_GB2312"/>
          <w:color w:val="auto"/>
          <w:sz w:val="32"/>
          <w:szCs w:val="32"/>
          <w:highlight w:val="none"/>
          <w:lang w:val="en-US" w:eastAsia="zh-CN"/>
        </w:rPr>
        <w:t>四</w:t>
      </w:r>
      <w:r>
        <w:rPr>
          <w:rFonts w:hint="eastAsia" w:ascii="仿宋_GB2312" w:hAnsi="仿宋_GB2312" w:eastAsia="仿宋_GB2312" w:cs="仿宋_GB2312"/>
          <w:color w:val="auto"/>
          <w:sz w:val="32"/>
          <w:szCs w:val="32"/>
          <w:highlight w:val="none"/>
          <w:lang w:eastAsia="zh-CN"/>
        </w:rPr>
        <w:t>条，新增</w:t>
      </w:r>
      <w:r>
        <w:rPr>
          <w:rFonts w:hint="eastAsia" w:ascii="仿宋_GB2312" w:hAnsi="仿宋_GB2312" w:eastAsia="仿宋_GB2312" w:cs="仿宋_GB2312"/>
          <w:color w:val="auto"/>
          <w:sz w:val="32"/>
          <w:szCs w:val="32"/>
          <w:highlight w:val="none"/>
          <w:lang w:val="en-US" w:eastAsia="zh-CN"/>
        </w:rPr>
        <w:t>四</w:t>
      </w:r>
      <w:r>
        <w:rPr>
          <w:rFonts w:hint="eastAsia" w:ascii="仿宋_GB2312" w:hAnsi="仿宋_GB2312" w:eastAsia="仿宋_GB2312" w:cs="仿宋_GB2312"/>
          <w:color w:val="auto"/>
          <w:sz w:val="32"/>
          <w:szCs w:val="32"/>
          <w:highlight w:val="none"/>
          <w:lang w:eastAsia="zh-CN"/>
        </w:rPr>
        <w:t>条，涉及重大修改</w:t>
      </w:r>
      <w:r>
        <w:rPr>
          <w:rFonts w:hint="eastAsia" w:ascii="仿宋_GB2312" w:hAnsi="仿宋_GB2312" w:eastAsia="仿宋_GB2312" w:cs="仿宋_GB2312"/>
          <w:color w:val="auto"/>
          <w:sz w:val="32"/>
          <w:szCs w:val="32"/>
          <w:highlight w:val="none"/>
          <w:lang w:val="en-US" w:eastAsia="zh-CN"/>
        </w:rPr>
        <w:t>两</w:t>
      </w:r>
      <w:r>
        <w:rPr>
          <w:rFonts w:hint="eastAsia" w:ascii="仿宋_GB2312" w:hAnsi="仿宋_GB2312" w:eastAsia="仿宋_GB2312" w:cs="仿宋_GB2312"/>
          <w:color w:val="auto"/>
          <w:sz w:val="32"/>
          <w:szCs w:val="32"/>
          <w:highlight w:val="none"/>
          <w:lang w:eastAsia="zh-CN"/>
        </w:rPr>
        <w:t>条。</w:t>
      </w:r>
    </w:p>
    <w:p>
      <w:pPr>
        <w:pStyle w:val="2"/>
        <w:keepNext w:val="0"/>
        <w:keepLines w:val="0"/>
        <w:pageBreakBefore w:val="0"/>
        <w:widowControl w:val="0"/>
        <w:numPr>
          <w:ilvl w:val="0"/>
          <w:numId w:val="0"/>
        </w:numPr>
        <w:kinsoku/>
        <w:wordWrap/>
        <w:topLinePunct w:val="0"/>
        <w:bidi w:val="0"/>
        <w:spacing w:line="580" w:lineRule="exact"/>
        <w:ind w:firstLine="640" w:firstLineChars="200"/>
        <w:textAlignment w:val="auto"/>
        <w:rPr>
          <w:rFonts w:hint="eastAsia" w:ascii="仿宋_GB2312" w:hAnsi="仿宋_GB2312" w:eastAsia="仿宋_GB2312" w:cs="仿宋_GB2312"/>
          <w:color w:val="auto"/>
          <w:sz w:val="32"/>
          <w:szCs w:val="32"/>
          <w:highlight w:val="none"/>
          <w:lang w:eastAsia="zh-CN"/>
        </w:rPr>
      </w:pPr>
      <w:r>
        <w:rPr>
          <w:rFonts w:hint="eastAsia" w:ascii="楷体" w:hAnsi="楷体" w:eastAsia="楷体" w:cs="楷体"/>
          <w:b w:val="0"/>
          <w:bCs w:val="0"/>
          <w:color w:val="auto"/>
          <w:kern w:val="2"/>
          <w:sz w:val="32"/>
          <w:szCs w:val="32"/>
          <w:highlight w:val="none"/>
          <w:lang w:val="en-US" w:eastAsia="zh-CN" w:bidi="ar-SA"/>
        </w:rPr>
        <w:t>（一）原《规定》</w:t>
      </w:r>
      <w:r>
        <w:rPr>
          <w:rFonts w:hint="eastAsia" w:ascii="楷体" w:hAnsi="楷体" w:eastAsia="楷体" w:cs="楷体"/>
          <w:b w:val="0"/>
          <w:bCs w:val="0"/>
          <w:color w:val="auto"/>
          <w:sz w:val="32"/>
          <w:szCs w:val="32"/>
          <w:highlight w:val="none"/>
          <w:lang w:val="en-US" w:eastAsia="zh-CN"/>
        </w:rPr>
        <w:t xml:space="preserve">删除情况 </w:t>
      </w:r>
      <w:r>
        <w:rPr>
          <w:rFonts w:hint="eastAsia" w:ascii="仿宋_GB2312" w:hAnsi="仿宋_GB2312" w:eastAsia="仿宋_GB2312" w:cs="仿宋_GB2312"/>
          <w:b/>
          <w:bCs/>
          <w:color w:val="auto"/>
          <w:sz w:val="32"/>
          <w:szCs w:val="32"/>
          <w:highlight w:val="none"/>
          <w:lang w:val="en-US" w:eastAsia="zh-CN"/>
        </w:rPr>
        <w:t xml:space="preserve">  </w:t>
      </w:r>
    </w:p>
    <w:p>
      <w:pPr>
        <w:pStyle w:val="2"/>
        <w:keepNext w:val="0"/>
        <w:keepLines w:val="0"/>
        <w:pageBreakBefore w:val="0"/>
        <w:widowControl w:val="0"/>
        <w:numPr>
          <w:ilvl w:val="0"/>
          <w:numId w:val="0"/>
        </w:numPr>
        <w:kinsoku/>
        <w:wordWrap/>
        <w:topLinePunct w:val="0"/>
        <w:bidi w:val="0"/>
        <w:spacing w:line="580" w:lineRule="exact"/>
        <w:ind w:firstLine="640" w:firstLineChars="200"/>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eastAsia="zh-CN"/>
        </w:rPr>
        <w:t>删除原《规定》第</w:t>
      </w:r>
      <w:r>
        <w:rPr>
          <w:rFonts w:hint="eastAsia" w:ascii="仿宋_GB2312" w:hAnsi="仿宋_GB2312" w:eastAsia="仿宋_GB2312" w:cs="仿宋_GB2312"/>
          <w:color w:val="auto"/>
          <w:sz w:val="32"/>
          <w:szCs w:val="32"/>
          <w:highlight w:val="none"/>
          <w:lang w:val="en-US" w:eastAsia="zh-CN"/>
        </w:rPr>
        <w:t>四</w:t>
      </w:r>
      <w:r>
        <w:rPr>
          <w:rFonts w:hint="eastAsia" w:ascii="仿宋_GB2312" w:hAnsi="仿宋_GB2312" w:eastAsia="仿宋_GB2312" w:cs="仿宋_GB2312"/>
          <w:color w:val="auto"/>
          <w:sz w:val="32"/>
          <w:szCs w:val="32"/>
          <w:highlight w:val="none"/>
          <w:lang w:eastAsia="zh-CN"/>
        </w:rPr>
        <w:t>条、第</w:t>
      </w:r>
      <w:r>
        <w:rPr>
          <w:rFonts w:hint="eastAsia" w:ascii="仿宋_GB2312" w:hAnsi="仿宋_GB2312" w:eastAsia="仿宋_GB2312" w:cs="仿宋_GB2312"/>
          <w:color w:val="auto"/>
          <w:sz w:val="32"/>
          <w:szCs w:val="32"/>
          <w:highlight w:val="none"/>
          <w:lang w:val="en-US" w:eastAsia="zh-CN"/>
        </w:rPr>
        <w:t>六</w:t>
      </w:r>
      <w:r>
        <w:rPr>
          <w:rFonts w:hint="eastAsia" w:ascii="仿宋_GB2312" w:hAnsi="仿宋_GB2312" w:eastAsia="仿宋_GB2312" w:cs="仿宋_GB2312"/>
          <w:color w:val="auto"/>
          <w:sz w:val="32"/>
          <w:szCs w:val="32"/>
          <w:highlight w:val="none"/>
          <w:lang w:eastAsia="zh-CN"/>
        </w:rPr>
        <w:t>条、</w:t>
      </w:r>
      <w:r>
        <w:rPr>
          <w:rFonts w:hint="eastAsia" w:ascii="仿宋_GB2312" w:hAnsi="仿宋_GB2312" w:eastAsia="仿宋_GB2312" w:cs="仿宋_GB2312"/>
          <w:color w:val="auto"/>
          <w:sz w:val="32"/>
          <w:szCs w:val="32"/>
          <w:highlight w:val="none"/>
          <w:lang w:val="en-US" w:eastAsia="zh-CN"/>
        </w:rPr>
        <w:t>第十三条、第十四条</w:t>
      </w:r>
      <w:r>
        <w:rPr>
          <w:rFonts w:hint="eastAsia" w:ascii="仿宋_GB2312" w:hAnsi="仿宋_GB2312" w:eastAsia="仿宋_GB2312" w:cs="仿宋_GB2312"/>
          <w:color w:val="auto"/>
          <w:sz w:val="32"/>
          <w:szCs w:val="32"/>
          <w:highlight w:val="none"/>
          <w:lang w:eastAsia="zh-CN"/>
        </w:rPr>
        <w:t>。</w:t>
      </w:r>
    </w:p>
    <w:p>
      <w:pPr>
        <w:pStyle w:val="2"/>
        <w:keepNext w:val="0"/>
        <w:keepLines w:val="0"/>
        <w:pageBreakBefore w:val="0"/>
        <w:widowControl w:val="0"/>
        <w:kinsoku/>
        <w:wordWrap/>
        <w:topLinePunct w:val="0"/>
        <w:bidi w:val="0"/>
        <w:spacing w:line="580" w:lineRule="exact"/>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b/>
          <w:bCs/>
          <w:color w:val="auto"/>
          <w:sz w:val="32"/>
          <w:szCs w:val="32"/>
          <w:highlight w:val="none"/>
          <w:lang w:val="en-US" w:eastAsia="zh-CN"/>
        </w:rPr>
        <w:t>原因：</w:t>
      </w:r>
      <w:r>
        <w:rPr>
          <w:rFonts w:hint="eastAsia" w:ascii="仿宋_GB2312" w:hAnsi="仿宋_GB2312" w:eastAsia="仿宋_GB2312" w:cs="仿宋_GB2312"/>
          <w:b w:val="0"/>
          <w:bCs w:val="0"/>
          <w:color w:val="auto"/>
          <w:sz w:val="32"/>
          <w:szCs w:val="32"/>
          <w:highlight w:val="none"/>
          <w:lang w:eastAsia="zh-CN"/>
        </w:rPr>
        <w:t>全篇按照防台原则-台风季节前-台风季节-台风影响期间-台风影响结束后的</w:t>
      </w:r>
      <w:r>
        <w:rPr>
          <w:rFonts w:hint="eastAsia" w:ascii="仿宋_GB2312" w:hAnsi="仿宋_GB2312" w:eastAsia="仿宋_GB2312" w:cs="仿宋_GB2312"/>
          <w:b w:val="0"/>
          <w:bCs w:val="0"/>
          <w:color w:val="auto"/>
          <w:sz w:val="32"/>
          <w:szCs w:val="32"/>
          <w:highlight w:val="none"/>
          <w:lang w:val="en-US" w:eastAsia="zh-CN"/>
        </w:rPr>
        <w:t>顺序</w:t>
      </w:r>
      <w:r>
        <w:rPr>
          <w:rFonts w:hint="eastAsia" w:ascii="仿宋_GB2312" w:hAnsi="仿宋_GB2312" w:eastAsia="仿宋_GB2312" w:cs="仿宋_GB2312"/>
          <w:b w:val="0"/>
          <w:bCs w:val="0"/>
          <w:color w:val="auto"/>
          <w:sz w:val="32"/>
          <w:szCs w:val="32"/>
          <w:highlight w:val="none"/>
          <w:lang w:eastAsia="zh-CN"/>
        </w:rPr>
        <w:t>进行表述，</w:t>
      </w:r>
      <w:r>
        <w:rPr>
          <w:rFonts w:hint="eastAsia" w:ascii="仿宋_GB2312" w:hAnsi="仿宋_GB2312" w:eastAsia="仿宋_GB2312" w:cs="仿宋_GB2312"/>
          <w:b w:val="0"/>
          <w:bCs w:val="0"/>
          <w:color w:val="auto"/>
          <w:sz w:val="32"/>
          <w:szCs w:val="32"/>
          <w:highlight w:val="none"/>
          <w:lang w:val="en-US" w:eastAsia="zh-CN"/>
        </w:rPr>
        <w:t>并参考《防台期间船舶避风水域选择和使用技术指南（试行）》和《船舶防台风指南（试行）》对部分条款内容进行调整</w:t>
      </w:r>
      <w:r>
        <w:rPr>
          <w:rFonts w:hint="eastAsia" w:ascii="仿宋_GB2312" w:hAnsi="仿宋_GB2312" w:eastAsia="仿宋_GB2312" w:cs="仿宋_GB2312"/>
          <w:color w:val="auto"/>
          <w:sz w:val="32"/>
          <w:szCs w:val="32"/>
          <w:highlight w:val="none"/>
          <w:lang w:eastAsia="zh-CN"/>
        </w:rPr>
        <w:t>。</w:t>
      </w:r>
    </w:p>
    <w:p>
      <w:pPr>
        <w:pStyle w:val="2"/>
        <w:keepNext w:val="0"/>
        <w:keepLines w:val="0"/>
        <w:pageBreakBefore w:val="0"/>
        <w:widowControl w:val="0"/>
        <w:kinsoku/>
        <w:wordWrap/>
        <w:topLinePunct w:val="0"/>
        <w:bidi w:val="0"/>
        <w:spacing w:line="580" w:lineRule="exact"/>
        <w:textAlignment w:val="auto"/>
        <w:rPr>
          <w:rFonts w:hint="default" w:ascii="仿宋_GB2312" w:hAnsi="仿宋_GB2312" w:eastAsia="仿宋_GB2312" w:cs="仿宋_GB2312"/>
          <w:color w:val="auto"/>
          <w:sz w:val="32"/>
          <w:szCs w:val="32"/>
          <w:highlight w:val="none"/>
          <w:lang w:val="en" w:eastAsia="zh-CN"/>
        </w:rPr>
      </w:pPr>
      <w:r>
        <w:rPr>
          <w:rFonts w:hint="eastAsia" w:ascii="仿宋_GB2312" w:hAnsi="仿宋_GB2312" w:eastAsia="仿宋_GB2312" w:cs="仿宋_GB2312"/>
          <w:color w:val="auto"/>
          <w:sz w:val="32"/>
          <w:szCs w:val="32"/>
          <w:highlight w:val="none"/>
          <w:lang w:val="en-US" w:eastAsia="zh-CN"/>
        </w:rPr>
        <w:t>1.</w:t>
      </w:r>
      <w:r>
        <w:rPr>
          <w:rFonts w:hint="eastAsia" w:ascii="仿宋_GB2312" w:hAnsi="仿宋_GB2312" w:eastAsia="仿宋_GB2312" w:cs="仿宋_GB2312"/>
          <w:color w:val="auto"/>
          <w:sz w:val="32"/>
          <w:szCs w:val="32"/>
          <w:highlight w:val="none"/>
          <w:lang w:eastAsia="zh-CN"/>
        </w:rPr>
        <w:t>原《规定》第</w:t>
      </w:r>
      <w:r>
        <w:rPr>
          <w:rFonts w:hint="eastAsia" w:ascii="仿宋_GB2312" w:hAnsi="仿宋_GB2312" w:eastAsia="仿宋_GB2312" w:cs="仿宋_GB2312"/>
          <w:color w:val="auto"/>
          <w:sz w:val="32"/>
          <w:szCs w:val="32"/>
          <w:highlight w:val="none"/>
          <w:lang w:val="en-US" w:eastAsia="zh-CN"/>
        </w:rPr>
        <w:t>四</w:t>
      </w:r>
      <w:r>
        <w:rPr>
          <w:rFonts w:hint="eastAsia" w:ascii="仿宋_GB2312" w:hAnsi="仿宋_GB2312" w:eastAsia="仿宋_GB2312" w:cs="仿宋_GB2312"/>
          <w:color w:val="auto"/>
          <w:sz w:val="32"/>
          <w:szCs w:val="32"/>
          <w:highlight w:val="none"/>
          <w:lang w:eastAsia="zh-CN"/>
        </w:rPr>
        <w:t>条内容</w:t>
      </w:r>
      <w:r>
        <w:rPr>
          <w:rFonts w:hint="eastAsia" w:ascii="仿宋_GB2312" w:hAnsi="仿宋_GB2312" w:eastAsia="仿宋_GB2312" w:cs="仿宋_GB2312"/>
          <w:color w:val="auto"/>
          <w:sz w:val="32"/>
          <w:szCs w:val="32"/>
          <w:highlight w:val="none"/>
          <w:lang w:val="en-US" w:eastAsia="zh-CN"/>
        </w:rPr>
        <w:t>调整为</w:t>
      </w:r>
      <w:r>
        <w:rPr>
          <w:rFonts w:hint="eastAsia" w:ascii="仿宋_GB2312" w:hAnsi="仿宋_GB2312" w:eastAsia="仿宋_GB2312" w:cs="仿宋_GB2312"/>
          <w:color w:val="auto"/>
          <w:sz w:val="32"/>
          <w:szCs w:val="32"/>
          <w:highlight w:val="none"/>
          <w:lang w:eastAsia="zh-CN"/>
        </w:rPr>
        <w:t>新《规定》第</w:t>
      </w:r>
      <w:r>
        <w:rPr>
          <w:rFonts w:hint="eastAsia" w:ascii="仿宋_GB2312" w:hAnsi="仿宋_GB2312" w:eastAsia="仿宋_GB2312" w:cs="仿宋_GB2312"/>
          <w:color w:val="auto"/>
          <w:sz w:val="32"/>
          <w:szCs w:val="32"/>
          <w:highlight w:val="none"/>
          <w:lang w:val="en-US" w:eastAsia="zh-CN"/>
        </w:rPr>
        <w:t>七</w:t>
      </w:r>
      <w:r>
        <w:rPr>
          <w:rFonts w:hint="eastAsia" w:ascii="仿宋_GB2312" w:hAnsi="仿宋_GB2312" w:eastAsia="仿宋_GB2312" w:cs="仿宋_GB2312"/>
          <w:color w:val="auto"/>
          <w:sz w:val="32"/>
          <w:szCs w:val="32"/>
          <w:highlight w:val="none"/>
          <w:lang w:eastAsia="zh-CN"/>
        </w:rPr>
        <w:t>条。</w:t>
      </w:r>
    </w:p>
    <w:p>
      <w:pPr>
        <w:pStyle w:val="2"/>
        <w:keepNext w:val="0"/>
        <w:keepLines w:val="0"/>
        <w:pageBreakBefore w:val="0"/>
        <w:widowControl w:val="0"/>
        <w:kinsoku/>
        <w:wordWrap/>
        <w:topLinePunct w:val="0"/>
        <w:bidi w:val="0"/>
        <w:spacing w:line="580" w:lineRule="exact"/>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2.</w:t>
      </w:r>
      <w:r>
        <w:rPr>
          <w:rFonts w:hint="eastAsia" w:ascii="仿宋_GB2312" w:hAnsi="仿宋_GB2312" w:eastAsia="仿宋_GB2312" w:cs="仿宋_GB2312"/>
          <w:color w:val="auto"/>
          <w:sz w:val="32"/>
          <w:szCs w:val="32"/>
          <w:highlight w:val="none"/>
          <w:lang w:eastAsia="zh-CN"/>
        </w:rPr>
        <w:t>原《规定》第</w:t>
      </w:r>
      <w:r>
        <w:rPr>
          <w:rFonts w:hint="eastAsia" w:ascii="仿宋_GB2312" w:hAnsi="仿宋_GB2312" w:eastAsia="仿宋_GB2312" w:cs="仿宋_GB2312"/>
          <w:color w:val="auto"/>
          <w:sz w:val="32"/>
          <w:szCs w:val="32"/>
          <w:highlight w:val="none"/>
          <w:lang w:val="en-US" w:eastAsia="zh-CN"/>
        </w:rPr>
        <w:t>六</w:t>
      </w:r>
      <w:r>
        <w:rPr>
          <w:rFonts w:hint="eastAsia" w:ascii="仿宋_GB2312" w:hAnsi="仿宋_GB2312" w:eastAsia="仿宋_GB2312" w:cs="仿宋_GB2312"/>
          <w:color w:val="auto"/>
          <w:sz w:val="32"/>
          <w:szCs w:val="32"/>
          <w:highlight w:val="none"/>
          <w:lang w:eastAsia="zh-CN"/>
        </w:rPr>
        <w:t>条</w:t>
      </w:r>
      <w:r>
        <w:rPr>
          <w:rFonts w:hint="eastAsia" w:ascii="仿宋_GB2312" w:hAnsi="仿宋_GB2312" w:eastAsia="仿宋_GB2312" w:cs="仿宋_GB2312"/>
          <w:color w:val="auto"/>
          <w:sz w:val="32"/>
          <w:szCs w:val="32"/>
          <w:highlight w:val="none"/>
          <w:lang w:val="en-US" w:eastAsia="zh-CN"/>
        </w:rPr>
        <w:t>内容纳入新《规定》第四条。</w:t>
      </w:r>
    </w:p>
    <w:p>
      <w:pPr>
        <w:pStyle w:val="2"/>
        <w:keepNext w:val="0"/>
        <w:keepLines w:val="0"/>
        <w:pageBreakBefore w:val="0"/>
        <w:widowControl w:val="0"/>
        <w:kinsoku/>
        <w:wordWrap/>
        <w:topLinePunct w:val="0"/>
        <w:bidi w:val="0"/>
        <w:spacing w:line="580" w:lineRule="exact"/>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w:t>
      </w:r>
      <w:r>
        <w:rPr>
          <w:rFonts w:hint="eastAsia" w:ascii="仿宋_GB2312" w:hAnsi="仿宋_GB2312" w:eastAsia="仿宋_GB2312" w:cs="仿宋_GB2312"/>
          <w:color w:val="auto"/>
          <w:sz w:val="32"/>
          <w:szCs w:val="32"/>
          <w:highlight w:val="none"/>
          <w:lang w:eastAsia="zh-CN"/>
        </w:rPr>
        <w:t>原《规定》第</w:t>
      </w:r>
      <w:r>
        <w:rPr>
          <w:rFonts w:hint="eastAsia" w:ascii="仿宋_GB2312" w:hAnsi="仿宋_GB2312" w:eastAsia="仿宋_GB2312" w:cs="仿宋_GB2312"/>
          <w:color w:val="auto"/>
          <w:sz w:val="32"/>
          <w:szCs w:val="32"/>
          <w:highlight w:val="none"/>
          <w:lang w:val="en-US" w:eastAsia="zh-CN"/>
        </w:rPr>
        <w:t>十二</w:t>
      </w:r>
      <w:r>
        <w:rPr>
          <w:rFonts w:hint="eastAsia" w:ascii="仿宋_GB2312" w:hAnsi="仿宋_GB2312" w:eastAsia="仿宋_GB2312" w:cs="仿宋_GB2312"/>
          <w:color w:val="auto"/>
          <w:sz w:val="32"/>
          <w:szCs w:val="32"/>
          <w:highlight w:val="none"/>
          <w:lang w:eastAsia="zh-CN"/>
        </w:rPr>
        <w:t>条</w:t>
      </w:r>
      <w:r>
        <w:rPr>
          <w:rFonts w:hint="eastAsia" w:ascii="仿宋_GB2312" w:hAnsi="仿宋_GB2312" w:eastAsia="仿宋_GB2312" w:cs="仿宋_GB2312"/>
          <w:color w:val="auto"/>
          <w:sz w:val="32"/>
          <w:szCs w:val="32"/>
          <w:highlight w:val="none"/>
          <w:lang w:val="en-US" w:eastAsia="zh-CN"/>
        </w:rPr>
        <w:t>内容调整为信《规定》第十四条。</w:t>
      </w:r>
    </w:p>
    <w:p>
      <w:pPr>
        <w:pStyle w:val="2"/>
        <w:keepNext w:val="0"/>
        <w:keepLines w:val="0"/>
        <w:pageBreakBefore w:val="0"/>
        <w:widowControl w:val="0"/>
        <w:kinsoku/>
        <w:wordWrap/>
        <w:topLinePunct w:val="0"/>
        <w:bidi w:val="0"/>
        <w:spacing w:line="580" w:lineRule="exact"/>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lang w:eastAsia="zh-CN"/>
        </w:rPr>
        <w:t>原《规定》第</w:t>
      </w:r>
      <w:r>
        <w:rPr>
          <w:rFonts w:hint="eastAsia" w:ascii="仿宋_GB2312" w:hAnsi="仿宋_GB2312" w:eastAsia="仿宋_GB2312" w:cs="仿宋_GB2312"/>
          <w:color w:val="auto"/>
          <w:sz w:val="32"/>
          <w:szCs w:val="32"/>
          <w:highlight w:val="none"/>
          <w:lang w:val="en-US" w:eastAsia="zh-CN"/>
        </w:rPr>
        <w:t>十四</w:t>
      </w:r>
      <w:r>
        <w:rPr>
          <w:rFonts w:hint="eastAsia" w:ascii="仿宋_GB2312" w:hAnsi="仿宋_GB2312" w:eastAsia="仿宋_GB2312" w:cs="仿宋_GB2312"/>
          <w:color w:val="auto"/>
          <w:sz w:val="32"/>
          <w:szCs w:val="32"/>
          <w:highlight w:val="none"/>
          <w:lang w:eastAsia="zh-CN"/>
        </w:rPr>
        <w:t>条</w:t>
      </w:r>
      <w:r>
        <w:rPr>
          <w:rFonts w:hint="eastAsia" w:ascii="仿宋_GB2312" w:hAnsi="仿宋_GB2312" w:eastAsia="仿宋_GB2312" w:cs="仿宋_GB2312"/>
          <w:color w:val="auto"/>
          <w:sz w:val="32"/>
          <w:szCs w:val="32"/>
          <w:highlight w:val="none"/>
          <w:lang w:val="en-US" w:eastAsia="zh-CN"/>
        </w:rPr>
        <w:t>删除</w:t>
      </w:r>
      <w:r>
        <w:rPr>
          <w:rFonts w:hint="eastAsia" w:ascii="仿宋_GB2312" w:hAnsi="仿宋_GB2312" w:eastAsia="仿宋_GB2312" w:cs="仿宋_GB2312"/>
          <w:color w:val="auto"/>
          <w:sz w:val="32"/>
          <w:szCs w:val="32"/>
          <w:highlight w:val="none"/>
          <w:lang w:eastAsia="zh-CN"/>
        </w:rPr>
        <w:t>。</w:t>
      </w:r>
    </w:p>
    <w:p>
      <w:pPr>
        <w:pStyle w:val="2"/>
        <w:keepNext w:val="0"/>
        <w:keepLines w:val="0"/>
        <w:pageBreakBefore w:val="0"/>
        <w:widowControl w:val="0"/>
        <w:numPr>
          <w:ilvl w:val="0"/>
          <w:numId w:val="0"/>
        </w:numPr>
        <w:kinsoku/>
        <w:wordWrap/>
        <w:topLinePunct w:val="0"/>
        <w:bidi w:val="0"/>
        <w:spacing w:line="580" w:lineRule="exact"/>
        <w:ind w:firstLine="640" w:firstLineChars="200"/>
        <w:textAlignment w:val="auto"/>
        <w:rPr>
          <w:rFonts w:hint="eastAsia" w:ascii="楷体" w:hAnsi="楷体" w:eastAsia="楷体" w:cs="楷体"/>
          <w:b w:val="0"/>
          <w:bCs w:val="0"/>
          <w:color w:val="auto"/>
          <w:sz w:val="32"/>
          <w:szCs w:val="32"/>
          <w:highlight w:val="none"/>
          <w:lang w:val="en-US" w:eastAsia="zh-CN"/>
        </w:rPr>
      </w:pPr>
      <w:r>
        <w:rPr>
          <w:rFonts w:hint="eastAsia" w:ascii="楷体" w:hAnsi="楷体" w:eastAsia="楷体" w:cs="楷体"/>
          <w:b w:val="0"/>
          <w:bCs w:val="0"/>
          <w:color w:val="auto"/>
          <w:kern w:val="2"/>
          <w:sz w:val="32"/>
          <w:szCs w:val="32"/>
          <w:highlight w:val="none"/>
          <w:lang w:val="en-US" w:eastAsia="zh-CN" w:bidi="ar-SA"/>
        </w:rPr>
        <w:t>（二）</w:t>
      </w:r>
      <w:r>
        <w:rPr>
          <w:rFonts w:hint="eastAsia" w:ascii="楷体" w:hAnsi="楷体" w:eastAsia="楷体" w:cs="楷体"/>
          <w:b w:val="0"/>
          <w:bCs w:val="0"/>
          <w:color w:val="auto"/>
          <w:sz w:val="32"/>
          <w:szCs w:val="32"/>
          <w:highlight w:val="none"/>
          <w:lang w:val="en-US" w:eastAsia="zh-CN"/>
        </w:rPr>
        <w:t>新《规定》新增情况</w:t>
      </w:r>
    </w:p>
    <w:p>
      <w:pPr>
        <w:pStyle w:val="2"/>
        <w:keepNext w:val="0"/>
        <w:keepLines w:val="0"/>
        <w:pageBreakBefore w:val="0"/>
        <w:widowControl w:val="0"/>
        <w:numPr>
          <w:ilvl w:val="0"/>
          <w:numId w:val="0"/>
        </w:numPr>
        <w:kinsoku/>
        <w:wordWrap/>
        <w:topLinePunct w:val="0"/>
        <w:bidi w:val="0"/>
        <w:spacing w:line="58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新《规定》第六条、第七条、第十二条和第十四条为新增条款。</w:t>
      </w:r>
    </w:p>
    <w:p>
      <w:pPr>
        <w:pStyle w:val="2"/>
        <w:keepNext w:val="0"/>
        <w:keepLines w:val="0"/>
        <w:pageBreakBefore w:val="0"/>
        <w:widowControl w:val="0"/>
        <w:kinsoku/>
        <w:wordWrap/>
        <w:topLinePunct w:val="0"/>
        <w:bidi w:val="0"/>
        <w:spacing w:line="580" w:lineRule="exact"/>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b/>
          <w:bCs/>
          <w:color w:val="auto"/>
          <w:sz w:val="32"/>
          <w:szCs w:val="32"/>
          <w:highlight w:val="none"/>
          <w:lang w:val="en-US" w:eastAsia="zh-CN"/>
        </w:rPr>
        <w:t>原因：</w:t>
      </w:r>
      <w:r>
        <w:rPr>
          <w:rFonts w:hint="eastAsia" w:ascii="仿宋_GB2312" w:hAnsi="仿宋_GB2312" w:eastAsia="仿宋_GB2312" w:cs="仿宋_GB2312"/>
          <w:b w:val="0"/>
          <w:bCs w:val="0"/>
          <w:color w:val="auto"/>
          <w:sz w:val="32"/>
          <w:szCs w:val="32"/>
          <w:highlight w:val="none"/>
          <w:lang w:eastAsia="zh-CN"/>
        </w:rPr>
        <w:t>全篇按照防台原则-台风季节前-台风季节-台风影响期间-台风影响结束后的</w:t>
      </w:r>
      <w:r>
        <w:rPr>
          <w:rFonts w:hint="eastAsia" w:ascii="仿宋_GB2312" w:hAnsi="仿宋_GB2312" w:eastAsia="仿宋_GB2312" w:cs="仿宋_GB2312"/>
          <w:b w:val="0"/>
          <w:bCs w:val="0"/>
          <w:color w:val="auto"/>
          <w:sz w:val="32"/>
          <w:szCs w:val="32"/>
          <w:highlight w:val="none"/>
          <w:lang w:val="en-US" w:eastAsia="zh-CN"/>
        </w:rPr>
        <w:t>顺序</w:t>
      </w:r>
      <w:r>
        <w:rPr>
          <w:rFonts w:hint="eastAsia" w:ascii="仿宋_GB2312" w:hAnsi="仿宋_GB2312" w:eastAsia="仿宋_GB2312" w:cs="仿宋_GB2312"/>
          <w:b w:val="0"/>
          <w:bCs w:val="0"/>
          <w:color w:val="auto"/>
          <w:sz w:val="32"/>
          <w:szCs w:val="32"/>
          <w:highlight w:val="none"/>
          <w:lang w:eastAsia="zh-CN"/>
        </w:rPr>
        <w:t>进行表述，</w:t>
      </w:r>
      <w:r>
        <w:rPr>
          <w:rFonts w:hint="eastAsia" w:ascii="仿宋_GB2312" w:hAnsi="仿宋_GB2312" w:eastAsia="仿宋_GB2312" w:cs="仿宋_GB2312"/>
          <w:b w:val="0"/>
          <w:bCs w:val="0"/>
          <w:color w:val="auto"/>
          <w:sz w:val="32"/>
          <w:szCs w:val="32"/>
          <w:highlight w:val="none"/>
          <w:lang w:val="en-US" w:eastAsia="zh-CN"/>
        </w:rPr>
        <w:t>并参考《防台期间船舶避风水域选择和使用技术指南（试行）》和《船舶防台风指南（试行）》对部分条款内容进行调整</w:t>
      </w:r>
      <w:r>
        <w:rPr>
          <w:rFonts w:hint="eastAsia" w:ascii="仿宋_GB2312" w:hAnsi="仿宋_GB2312" w:eastAsia="仿宋_GB2312" w:cs="仿宋_GB2312"/>
          <w:color w:val="auto"/>
          <w:sz w:val="32"/>
          <w:szCs w:val="32"/>
          <w:highlight w:val="none"/>
          <w:lang w:eastAsia="zh-CN"/>
        </w:rPr>
        <w:t>。</w:t>
      </w:r>
    </w:p>
    <w:p>
      <w:pPr>
        <w:pStyle w:val="2"/>
        <w:keepNext w:val="0"/>
        <w:keepLines w:val="0"/>
        <w:pageBreakBefore w:val="0"/>
        <w:widowControl w:val="0"/>
        <w:numPr>
          <w:ilvl w:val="0"/>
          <w:numId w:val="0"/>
        </w:numPr>
        <w:kinsoku/>
        <w:wordWrap/>
        <w:topLinePunct w:val="0"/>
        <w:bidi w:val="0"/>
        <w:spacing w:line="580" w:lineRule="exact"/>
        <w:ind w:firstLine="640" w:firstLineChars="200"/>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1.新《规则》第六条为新增条款，明确了海事管理机构发布、解除防台应急响应等级、采取分阶段防台措施的职责。</w:t>
      </w:r>
    </w:p>
    <w:p>
      <w:pPr>
        <w:pStyle w:val="2"/>
        <w:keepNext w:val="0"/>
        <w:keepLines w:val="0"/>
        <w:pageBreakBefore w:val="0"/>
        <w:widowControl w:val="0"/>
        <w:numPr>
          <w:ilvl w:val="0"/>
          <w:numId w:val="0"/>
        </w:numPr>
        <w:kinsoku/>
        <w:wordWrap/>
        <w:topLinePunct w:val="0"/>
        <w:bidi w:val="0"/>
        <w:spacing w:line="58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2.新《规定》第七条，由原《规定》第四条内容构成，对四个阶段的启动条件进行了调整，主要为台风中心未来不会进入嘉兴辖区，但对嘉兴辖区平均风力造成一定影响启动对应防台应急响应的描述。</w:t>
      </w:r>
    </w:p>
    <w:p>
      <w:pPr>
        <w:pStyle w:val="2"/>
        <w:keepNext w:val="0"/>
        <w:keepLines w:val="0"/>
        <w:pageBreakBefore w:val="0"/>
        <w:widowControl w:val="0"/>
        <w:numPr>
          <w:ilvl w:val="0"/>
          <w:numId w:val="0"/>
        </w:numPr>
        <w:kinsoku/>
        <w:wordWrap/>
        <w:topLinePunct w:val="0"/>
        <w:bidi w:val="0"/>
        <w:spacing w:line="58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3.新《规定》第十二条，参考《船舶防台风指南（试行）》增加，明确了船舶出港避台的原则性要求。</w:t>
      </w:r>
    </w:p>
    <w:p>
      <w:pPr>
        <w:pStyle w:val="2"/>
        <w:keepNext w:val="0"/>
        <w:keepLines w:val="0"/>
        <w:pageBreakBefore w:val="0"/>
        <w:widowControl w:val="0"/>
        <w:numPr>
          <w:ilvl w:val="0"/>
          <w:numId w:val="0"/>
        </w:numPr>
        <w:kinsoku/>
        <w:wordWrap/>
        <w:topLinePunct w:val="0"/>
        <w:bidi w:val="0"/>
        <w:spacing w:line="58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4.新《规定》第十四条，由原《规定》第十二条构成，并新增船舶和水上防台单位总结防台经验的要求。</w:t>
      </w:r>
    </w:p>
    <w:p>
      <w:pPr>
        <w:pStyle w:val="2"/>
        <w:keepNext w:val="0"/>
        <w:keepLines w:val="0"/>
        <w:pageBreakBefore w:val="0"/>
        <w:widowControl w:val="0"/>
        <w:numPr>
          <w:ilvl w:val="0"/>
          <w:numId w:val="0"/>
        </w:numPr>
        <w:kinsoku/>
        <w:wordWrap/>
        <w:topLinePunct w:val="0"/>
        <w:bidi w:val="0"/>
        <w:spacing w:line="580" w:lineRule="exact"/>
        <w:ind w:firstLine="640" w:firstLineChars="200"/>
        <w:textAlignment w:val="auto"/>
        <w:rPr>
          <w:rFonts w:hint="eastAsia" w:ascii="楷体" w:hAnsi="楷体" w:eastAsia="楷体" w:cs="楷体"/>
          <w:b w:val="0"/>
          <w:bCs w:val="0"/>
          <w:color w:val="auto"/>
          <w:sz w:val="32"/>
          <w:szCs w:val="32"/>
          <w:highlight w:val="none"/>
          <w:lang w:val="en-US" w:eastAsia="zh-CN"/>
        </w:rPr>
      </w:pPr>
      <w:r>
        <w:rPr>
          <w:rFonts w:hint="eastAsia" w:ascii="楷体" w:hAnsi="楷体" w:eastAsia="楷体" w:cs="楷体"/>
          <w:b w:val="0"/>
          <w:bCs w:val="0"/>
          <w:color w:val="auto"/>
          <w:kern w:val="2"/>
          <w:sz w:val="32"/>
          <w:szCs w:val="32"/>
          <w:highlight w:val="none"/>
          <w:lang w:val="en-US" w:eastAsia="zh-CN" w:bidi="ar-SA"/>
        </w:rPr>
        <w:t>（三）</w:t>
      </w:r>
      <w:r>
        <w:rPr>
          <w:rFonts w:hint="eastAsia" w:ascii="楷体" w:hAnsi="楷体" w:eastAsia="楷体" w:cs="楷体"/>
          <w:b w:val="0"/>
          <w:bCs w:val="0"/>
          <w:color w:val="auto"/>
          <w:sz w:val="32"/>
          <w:szCs w:val="32"/>
          <w:highlight w:val="none"/>
          <w:lang w:val="en-US" w:eastAsia="zh-CN"/>
        </w:rPr>
        <w:t xml:space="preserve">重大修改情况   </w:t>
      </w:r>
    </w:p>
    <w:p>
      <w:pPr>
        <w:keepNext w:val="0"/>
        <w:keepLines w:val="0"/>
        <w:pageBreakBefore w:val="0"/>
        <w:widowControl w:val="0"/>
        <w:kinsoku/>
        <w:wordWrap/>
        <w:topLinePunct w:val="0"/>
        <w:bidi w:val="0"/>
        <w:spacing w:line="580" w:lineRule="exact"/>
        <w:ind w:firstLine="640" w:firstLineChars="200"/>
        <w:jc w:val="left"/>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kern w:val="2"/>
          <w:sz w:val="32"/>
          <w:szCs w:val="32"/>
          <w:highlight w:val="none"/>
          <w:lang w:val="zh-CN" w:eastAsia="zh-CN" w:bidi="ar-SA"/>
        </w:rPr>
        <w:t>原《规定》第</w:t>
      </w:r>
      <w:r>
        <w:rPr>
          <w:rFonts w:hint="eastAsia" w:ascii="仿宋_GB2312" w:hAnsi="仿宋_GB2312" w:eastAsia="仿宋_GB2312" w:cs="仿宋_GB2312"/>
          <w:color w:val="auto"/>
          <w:kern w:val="2"/>
          <w:sz w:val="32"/>
          <w:szCs w:val="32"/>
          <w:highlight w:val="none"/>
          <w:lang w:val="en-US" w:eastAsia="zh-CN" w:bidi="ar-SA"/>
        </w:rPr>
        <w:t>五</w:t>
      </w:r>
      <w:r>
        <w:rPr>
          <w:rFonts w:hint="eastAsia" w:ascii="仿宋_GB2312" w:hAnsi="仿宋_GB2312" w:eastAsia="仿宋_GB2312" w:cs="仿宋_GB2312"/>
          <w:color w:val="auto"/>
          <w:kern w:val="2"/>
          <w:sz w:val="32"/>
          <w:szCs w:val="32"/>
          <w:highlight w:val="none"/>
          <w:lang w:val="zh-CN" w:eastAsia="zh-CN" w:bidi="ar-SA"/>
        </w:rPr>
        <w:t>条、第</w:t>
      </w:r>
      <w:r>
        <w:rPr>
          <w:rFonts w:hint="eastAsia" w:ascii="仿宋_GB2312" w:hAnsi="仿宋_GB2312" w:eastAsia="仿宋_GB2312" w:cs="仿宋_GB2312"/>
          <w:color w:val="auto"/>
          <w:kern w:val="2"/>
          <w:sz w:val="32"/>
          <w:szCs w:val="32"/>
          <w:highlight w:val="none"/>
          <w:lang w:val="en-US" w:eastAsia="zh-CN" w:bidi="ar-SA"/>
        </w:rPr>
        <w:t>六</w:t>
      </w:r>
      <w:r>
        <w:rPr>
          <w:rFonts w:hint="eastAsia" w:ascii="仿宋_GB2312" w:hAnsi="仿宋_GB2312" w:eastAsia="仿宋_GB2312" w:cs="仿宋_GB2312"/>
          <w:color w:val="auto"/>
          <w:kern w:val="2"/>
          <w:sz w:val="32"/>
          <w:szCs w:val="32"/>
          <w:highlight w:val="none"/>
          <w:lang w:val="zh-CN" w:eastAsia="zh-CN" w:bidi="ar-SA"/>
        </w:rPr>
        <w:t>条、第</w:t>
      </w:r>
      <w:r>
        <w:rPr>
          <w:rFonts w:hint="eastAsia" w:ascii="仿宋_GB2312" w:hAnsi="仿宋_GB2312" w:eastAsia="仿宋_GB2312" w:cs="仿宋_GB2312"/>
          <w:color w:val="auto"/>
          <w:kern w:val="2"/>
          <w:sz w:val="32"/>
          <w:szCs w:val="32"/>
          <w:highlight w:val="none"/>
          <w:lang w:val="en-US" w:eastAsia="zh-CN" w:bidi="ar-SA"/>
        </w:rPr>
        <w:t>七</w:t>
      </w:r>
      <w:r>
        <w:rPr>
          <w:rFonts w:hint="eastAsia" w:ascii="仿宋_GB2312" w:hAnsi="仿宋_GB2312" w:eastAsia="仿宋_GB2312" w:cs="仿宋_GB2312"/>
          <w:color w:val="auto"/>
          <w:kern w:val="2"/>
          <w:sz w:val="32"/>
          <w:szCs w:val="32"/>
          <w:highlight w:val="none"/>
          <w:lang w:val="zh-CN" w:eastAsia="zh-CN" w:bidi="ar-SA"/>
        </w:rPr>
        <w:t>条</w:t>
      </w:r>
      <w:r>
        <w:rPr>
          <w:rFonts w:hint="eastAsia" w:ascii="仿宋_GB2312" w:hAnsi="仿宋_GB2312" w:eastAsia="仿宋_GB2312" w:cs="仿宋_GB2312"/>
          <w:color w:val="auto"/>
          <w:kern w:val="2"/>
          <w:sz w:val="32"/>
          <w:szCs w:val="32"/>
          <w:highlight w:val="none"/>
          <w:lang w:val="en-US" w:eastAsia="zh-CN" w:bidi="ar-SA"/>
        </w:rPr>
        <w:t>进行了重大修改形成</w:t>
      </w:r>
      <w:r>
        <w:rPr>
          <w:rFonts w:hint="eastAsia" w:ascii="仿宋_GB2312" w:hAnsi="仿宋_GB2312" w:eastAsia="仿宋_GB2312" w:cs="仿宋_GB2312"/>
          <w:color w:val="auto"/>
          <w:kern w:val="2"/>
          <w:sz w:val="32"/>
          <w:szCs w:val="32"/>
          <w:highlight w:val="none"/>
          <w:lang w:val="zh-CN" w:eastAsia="zh-CN" w:bidi="ar-SA"/>
        </w:rPr>
        <w:t>新《规定》第</w:t>
      </w:r>
      <w:r>
        <w:rPr>
          <w:rFonts w:hint="eastAsia" w:ascii="仿宋_GB2312" w:hAnsi="仿宋_GB2312" w:eastAsia="仿宋_GB2312" w:cs="仿宋_GB2312"/>
          <w:color w:val="auto"/>
          <w:kern w:val="2"/>
          <w:sz w:val="32"/>
          <w:szCs w:val="32"/>
          <w:highlight w:val="none"/>
          <w:lang w:val="en-US" w:eastAsia="zh-CN" w:bidi="ar-SA"/>
        </w:rPr>
        <w:t>四</w:t>
      </w:r>
      <w:r>
        <w:rPr>
          <w:rFonts w:hint="eastAsia" w:ascii="仿宋_GB2312" w:hAnsi="仿宋_GB2312" w:eastAsia="仿宋_GB2312" w:cs="仿宋_GB2312"/>
          <w:color w:val="auto"/>
          <w:kern w:val="2"/>
          <w:sz w:val="32"/>
          <w:szCs w:val="32"/>
          <w:highlight w:val="none"/>
          <w:lang w:val="zh-CN" w:eastAsia="zh-CN" w:bidi="ar-SA"/>
        </w:rPr>
        <w:t>条、第</w:t>
      </w:r>
      <w:r>
        <w:rPr>
          <w:rFonts w:hint="eastAsia" w:ascii="仿宋_GB2312" w:hAnsi="仿宋_GB2312" w:eastAsia="仿宋_GB2312" w:cs="仿宋_GB2312"/>
          <w:color w:val="auto"/>
          <w:kern w:val="2"/>
          <w:sz w:val="32"/>
          <w:szCs w:val="32"/>
          <w:highlight w:val="none"/>
          <w:lang w:val="en-US" w:eastAsia="zh-CN" w:bidi="ar-SA"/>
        </w:rPr>
        <w:t>五</w:t>
      </w:r>
      <w:r>
        <w:rPr>
          <w:rFonts w:hint="eastAsia" w:ascii="仿宋_GB2312" w:hAnsi="仿宋_GB2312" w:eastAsia="仿宋_GB2312" w:cs="仿宋_GB2312"/>
          <w:color w:val="auto"/>
          <w:kern w:val="2"/>
          <w:sz w:val="32"/>
          <w:szCs w:val="32"/>
          <w:highlight w:val="none"/>
          <w:lang w:val="zh-CN" w:eastAsia="zh-CN" w:bidi="ar-SA"/>
        </w:rPr>
        <w:t>条。</w:t>
      </w:r>
    </w:p>
    <w:p>
      <w:pPr>
        <w:pStyle w:val="2"/>
        <w:keepNext w:val="0"/>
        <w:keepLines w:val="0"/>
        <w:pageBreakBefore w:val="0"/>
        <w:widowControl w:val="0"/>
        <w:kinsoku/>
        <w:wordWrap/>
        <w:topLinePunct w:val="0"/>
        <w:bidi w:val="0"/>
        <w:spacing w:line="580" w:lineRule="exact"/>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b/>
          <w:bCs/>
          <w:color w:val="auto"/>
          <w:sz w:val="32"/>
          <w:szCs w:val="32"/>
          <w:highlight w:val="none"/>
          <w:lang w:val="en-US" w:eastAsia="zh-CN"/>
        </w:rPr>
        <w:t>原因：</w:t>
      </w:r>
      <w:r>
        <w:rPr>
          <w:rFonts w:hint="eastAsia" w:ascii="仿宋_GB2312" w:hAnsi="仿宋_GB2312" w:eastAsia="仿宋_GB2312" w:cs="仿宋_GB2312"/>
          <w:b w:val="0"/>
          <w:bCs w:val="0"/>
          <w:color w:val="auto"/>
          <w:sz w:val="32"/>
          <w:szCs w:val="32"/>
          <w:highlight w:val="none"/>
          <w:lang w:eastAsia="zh-CN"/>
        </w:rPr>
        <w:t>全篇按照防台原则-台风季节前-台风季节-台风影响期间-台风影响结束后的</w:t>
      </w:r>
      <w:r>
        <w:rPr>
          <w:rFonts w:hint="eastAsia" w:ascii="仿宋_GB2312" w:hAnsi="仿宋_GB2312" w:eastAsia="仿宋_GB2312" w:cs="仿宋_GB2312"/>
          <w:b w:val="0"/>
          <w:bCs w:val="0"/>
          <w:color w:val="auto"/>
          <w:sz w:val="32"/>
          <w:szCs w:val="32"/>
          <w:highlight w:val="none"/>
          <w:lang w:val="en-US" w:eastAsia="zh-CN"/>
        </w:rPr>
        <w:t>顺序</w:t>
      </w:r>
      <w:r>
        <w:rPr>
          <w:rFonts w:hint="eastAsia" w:ascii="仿宋_GB2312" w:hAnsi="仿宋_GB2312" w:eastAsia="仿宋_GB2312" w:cs="仿宋_GB2312"/>
          <w:b w:val="0"/>
          <w:bCs w:val="0"/>
          <w:color w:val="auto"/>
          <w:sz w:val="32"/>
          <w:szCs w:val="32"/>
          <w:highlight w:val="none"/>
          <w:lang w:eastAsia="zh-CN"/>
        </w:rPr>
        <w:t>进行表述，</w:t>
      </w:r>
      <w:r>
        <w:rPr>
          <w:rFonts w:hint="eastAsia" w:ascii="仿宋_GB2312" w:hAnsi="仿宋_GB2312" w:eastAsia="仿宋_GB2312" w:cs="仿宋_GB2312"/>
          <w:b w:val="0"/>
          <w:bCs w:val="0"/>
          <w:color w:val="auto"/>
          <w:sz w:val="32"/>
          <w:szCs w:val="32"/>
          <w:highlight w:val="none"/>
          <w:lang w:val="en-US" w:eastAsia="zh-CN"/>
        </w:rPr>
        <w:t>并参考《防台期间船舶避风水域选择和使用技术指南（试行）》和《船舶防台风指南（试行）》对部分条款内容进行调整</w:t>
      </w:r>
      <w:r>
        <w:rPr>
          <w:rFonts w:hint="eastAsia" w:ascii="仿宋_GB2312" w:hAnsi="仿宋_GB2312" w:eastAsia="仿宋_GB2312" w:cs="仿宋_GB2312"/>
          <w:color w:val="auto"/>
          <w:sz w:val="32"/>
          <w:szCs w:val="32"/>
          <w:highlight w:val="none"/>
          <w:lang w:eastAsia="zh-CN"/>
        </w:rPr>
        <w:t>。</w:t>
      </w:r>
    </w:p>
    <w:p>
      <w:pPr>
        <w:pStyle w:val="2"/>
        <w:keepNext w:val="0"/>
        <w:keepLines w:val="0"/>
        <w:pageBreakBefore w:val="0"/>
        <w:widowControl w:val="0"/>
        <w:numPr>
          <w:ilvl w:val="0"/>
          <w:numId w:val="0"/>
        </w:numPr>
        <w:kinsoku/>
        <w:wordWrap/>
        <w:topLinePunct w:val="0"/>
        <w:bidi w:val="0"/>
        <w:spacing w:line="580" w:lineRule="exact"/>
        <w:ind w:left="0" w:leftChars="0" w:firstLine="640" w:firstLineChars="200"/>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kern w:val="2"/>
          <w:sz w:val="32"/>
          <w:szCs w:val="32"/>
          <w:highlight w:val="none"/>
          <w:lang w:val="en-US" w:eastAsia="zh-CN" w:bidi="ar-SA"/>
        </w:rPr>
        <w:t>1.</w:t>
      </w:r>
      <w:r>
        <w:rPr>
          <w:rFonts w:hint="eastAsia" w:ascii="仿宋_GB2312" w:hAnsi="仿宋_GB2312" w:eastAsia="仿宋_GB2312" w:cs="仿宋_GB2312"/>
          <w:color w:val="auto"/>
          <w:sz w:val="32"/>
          <w:szCs w:val="32"/>
          <w:highlight w:val="none"/>
          <w:lang w:val="en-US" w:eastAsia="zh-CN"/>
        </w:rPr>
        <w:t>将原《规定》第五条、第六条整合为新《规定》第四条。新《规定》较原《规定》明确防台原则及台风季节前各相关单位义务，包括成立防台组织、制定预案、熟悉预案、培训及检查、施工船撤离方案、扣押单位责任。</w:t>
      </w:r>
    </w:p>
    <w:p>
      <w:pPr>
        <w:pStyle w:val="2"/>
        <w:keepNext w:val="0"/>
        <w:keepLines w:val="0"/>
        <w:pageBreakBefore w:val="0"/>
        <w:widowControl w:val="0"/>
        <w:numPr>
          <w:ilvl w:val="0"/>
          <w:numId w:val="0"/>
        </w:numPr>
        <w:kinsoku/>
        <w:wordWrap/>
        <w:topLinePunct w:val="0"/>
        <w:bidi w:val="0"/>
        <w:spacing w:line="580" w:lineRule="exact"/>
        <w:ind w:left="0" w:leftChars="0"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default" w:ascii="仿宋_GB2312" w:hAnsi="仿宋_GB2312" w:eastAsia="仿宋_GB2312" w:cs="仿宋_GB2312"/>
          <w:color w:val="auto"/>
          <w:kern w:val="2"/>
          <w:sz w:val="32"/>
          <w:szCs w:val="32"/>
          <w:highlight w:val="none"/>
          <w:lang w:val="en-US" w:eastAsia="zh-CN" w:bidi="ar-SA"/>
        </w:rPr>
        <w:t>2.</w:t>
      </w:r>
      <w:r>
        <w:rPr>
          <w:rFonts w:hint="eastAsia" w:ascii="仿宋_GB2312" w:hAnsi="仿宋_GB2312" w:eastAsia="仿宋_GB2312" w:cs="仿宋_GB2312"/>
          <w:color w:val="auto"/>
          <w:kern w:val="2"/>
          <w:sz w:val="32"/>
          <w:szCs w:val="32"/>
          <w:highlight w:val="none"/>
          <w:lang w:val="en-US" w:eastAsia="zh-CN" w:bidi="ar-SA"/>
        </w:rPr>
        <w:t>将原《规定》第七条内容调整为新《规定》第五条第一款，</w:t>
      </w:r>
      <w:r>
        <w:rPr>
          <w:rFonts w:hint="eastAsia" w:ascii="仿宋_GB2312" w:hAnsi="仿宋_GB2312" w:eastAsia="仿宋_GB2312" w:cs="仿宋_GB2312"/>
          <w:color w:val="auto"/>
          <w:sz w:val="32"/>
          <w:szCs w:val="32"/>
          <w:highlight w:val="none"/>
          <w:lang w:val="en-US" w:eastAsia="zh-CN"/>
        </w:rPr>
        <w:t>第一款，明确台风季节海事管理机构、船舶和水上防台单位的义务。新《规定》第五条第二款明确水工单位特种施工船舶撤离准备工作提前启动。</w:t>
      </w:r>
    </w:p>
    <w:p>
      <w:pPr>
        <w:pStyle w:val="2"/>
        <w:keepNext w:val="0"/>
        <w:keepLines w:val="0"/>
        <w:pageBreakBefore w:val="0"/>
        <w:widowControl w:val="0"/>
        <w:kinsoku/>
        <w:wordWrap/>
        <w:topLinePunct w:val="0"/>
        <w:bidi w:val="0"/>
        <w:spacing w:line="580" w:lineRule="exact"/>
        <w:ind w:left="0" w:leftChars="0" w:firstLine="640" w:firstLineChars="200"/>
        <w:textAlignment w:val="auto"/>
        <w:rPr>
          <w:rFonts w:hint="default" w:ascii="仿宋_GB2312" w:hAnsi="仿宋_GB2312" w:eastAsia="仿宋_GB2312" w:cs="仿宋_GB2312"/>
          <w:color w:val="auto"/>
          <w:sz w:val="32"/>
          <w:szCs w:val="32"/>
          <w:highlight w:val="yellow"/>
          <w:lang w:val="en-US" w:eastAsia="zh-CN"/>
        </w:rPr>
      </w:pPr>
    </w:p>
    <w:sectPr>
      <w:footerReference r:id="rId3" w:type="default"/>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Times">
    <w:altName w:val="Nimbus Roman No9 L"/>
    <w:panose1 w:val="02020603050405020304"/>
    <w:charset w:val="00"/>
    <w:family w:val="roman"/>
    <w:pitch w:val="default"/>
    <w:sig w:usb0="00000000" w:usb1="00000000" w:usb2="00000009" w:usb3="00000000" w:csb0="000001FF"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Nimbus Roman No9 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snapToGrid w:val="0"/>
                            <w:rPr>
                              <w:rFonts w:ascii="宋体" w:hAnsi="宋体" w:cs="宋体"/>
                              <w:sz w:val="28"/>
                              <w:szCs w:val="28"/>
                            </w:rPr>
                          </w:pPr>
                          <w:r>
                            <w:rPr>
                              <w:rFonts w:hint="eastAsia" w:ascii="宋体" w:hAnsi="宋体" w:cs="宋体"/>
                              <w:sz w:val="28"/>
                              <w:szCs w:val="28"/>
                            </w:rPr>
                            <w:fldChar w:fldCharType="begin"/>
                          </w:r>
                          <w:r>
                            <w:rPr>
                              <w:rFonts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- 5 -</w:t>
                          </w:r>
                          <w:r>
                            <w:rPr>
                              <w:rFonts w:hint="eastAsia" w:ascii="宋体" w:hAnsi="宋体" w:cs="宋体"/>
                              <w:sz w:val="28"/>
                              <w:szCs w:val="28"/>
                            </w:rPr>
                            <w:fldChar w:fldCharType="end"/>
                          </w:r>
                        </w:p>
                      </w:txbxContent>
                    </wps:txbx>
                    <wps:bodyPr wrap="none" lIns="0" tIns="0" rIns="0" bIns="0" upright="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WAAAAZHJzL1BLAQIU&#10;ABQAAAAIAIdO4kDOqXm5zwAAAAUBAAAPAAAAAAAAAAEAIAAAADgAAABkcnMvZG93bnJldi54bWxQ&#10;SwECFAAUAAAACACHTuJA0WrDzrEBAABRAwAADgAAAAAAAAABACAAAAA0AQAAZHJzL2Uyb0RvYy54&#10;bWxQSwUGAAAAAAYABgBZAQAAVwUAAAAA&#10;">
              <v:fill on="f" focussize="0,0"/>
              <v:stroke on="f"/>
              <v:imagedata o:title=""/>
              <o:lock v:ext="edit" aspectratio="f"/>
              <v:textbox inset="0mm,0mm,0mm,0mm" style="mso-fit-shape-to-text:t;">
                <w:txbxContent>
                  <w:p>
                    <w:pPr>
                      <w:snapToGrid w:val="0"/>
                      <w:rPr>
                        <w:rFonts w:ascii="宋体" w:hAnsi="宋体" w:cs="宋体"/>
                        <w:sz w:val="28"/>
                        <w:szCs w:val="28"/>
                      </w:rPr>
                    </w:pPr>
                    <w:r>
                      <w:rPr>
                        <w:rFonts w:hint="eastAsia" w:ascii="宋体" w:hAnsi="宋体" w:cs="宋体"/>
                        <w:sz w:val="28"/>
                        <w:szCs w:val="28"/>
                      </w:rPr>
                      <w:fldChar w:fldCharType="begin"/>
                    </w:r>
                    <w:r>
                      <w:rPr>
                        <w:rFonts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- 5 -</w:t>
                    </w:r>
                    <w:r>
                      <w:rPr>
                        <w:rFonts w:hint="eastAsia" w:ascii="宋体" w:hAnsi="宋体" w:cs="宋体"/>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false"/>
  <w:bordersDoNotSurroundFooter w:val="false"/>
  <w:doNotTrackMoves/>
  <w:documentProtection w:enforcement="0"/>
  <w:defaultTabStop w:val="420"/>
  <w:drawingGridHorizontalSpacing w:val="0"/>
  <w:drawingGridVerticalSpacing w:val="159"/>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ZmYTdiY2RiM2FkYzk5NGU5MDNmNGEzNzQ2YjQzMTcifQ=="/>
  </w:docVars>
  <w:rsids>
    <w:rsidRoot w:val="0089774A"/>
    <w:rsid w:val="0001225C"/>
    <w:rsid w:val="000423E0"/>
    <w:rsid w:val="00054666"/>
    <w:rsid w:val="000734CD"/>
    <w:rsid w:val="00075AC1"/>
    <w:rsid w:val="00082815"/>
    <w:rsid w:val="00090EB3"/>
    <w:rsid w:val="00091C56"/>
    <w:rsid w:val="000C5589"/>
    <w:rsid w:val="000D3804"/>
    <w:rsid w:val="000D6AFD"/>
    <w:rsid w:val="000E0E83"/>
    <w:rsid w:val="00112811"/>
    <w:rsid w:val="00120C41"/>
    <w:rsid w:val="001302A0"/>
    <w:rsid w:val="00155EDB"/>
    <w:rsid w:val="00156B04"/>
    <w:rsid w:val="00186878"/>
    <w:rsid w:val="00190788"/>
    <w:rsid w:val="001C1A88"/>
    <w:rsid w:val="001C2A00"/>
    <w:rsid w:val="001D424A"/>
    <w:rsid w:val="001E3C36"/>
    <w:rsid w:val="002037E3"/>
    <w:rsid w:val="00205EC8"/>
    <w:rsid w:val="00212CF8"/>
    <w:rsid w:val="002130C0"/>
    <w:rsid w:val="00221BF9"/>
    <w:rsid w:val="00221E2D"/>
    <w:rsid w:val="00241E11"/>
    <w:rsid w:val="0025420D"/>
    <w:rsid w:val="00255FBD"/>
    <w:rsid w:val="0025633A"/>
    <w:rsid w:val="002566F0"/>
    <w:rsid w:val="00256F2F"/>
    <w:rsid w:val="002936EF"/>
    <w:rsid w:val="00294A5E"/>
    <w:rsid w:val="00295CE7"/>
    <w:rsid w:val="002A2B8D"/>
    <w:rsid w:val="002A3068"/>
    <w:rsid w:val="002B0E90"/>
    <w:rsid w:val="002B26CE"/>
    <w:rsid w:val="002B4C54"/>
    <w:rsid w:val="002D5C62"/>
    <w:rsid w:val="002E5857"/>
    <w:rsid w:val="00301186"/>
    <w:rsid w:val="0031512A"/>
    <w:rsid w:val="003232C2"/>
    <w:rsid w:val="003234A7"/>
    <w:rsid w:val="00344953"/>
    <w:rsid w:val="003570F2"/>
    <w:rsid w:val="00374EE0"/>
    <w:rsid w:val="00392D67"/>
    <w:rsid w:val="003A2714"/>
    <w:rsid w:val="003B7909"/>
    <w:rsid w:val="003D6F47"/>
    <w:rsid w:val="003E19BB"/>
    <w:rsid w:val="003E5C2E"/>
    <w:rsid w:val="003F7B49"/>
    <w:rsid w:val="00400877"/>
    <w:rsid w:val="00424F65"/>
    <w:rsid w:val="004527FB"/>
    <w:rsid w:val="004673D6"/>
    <w:rsid w:val="00490882"/>
    <w:rsid w:val="004B1645"/>
    <w:rsid w:val="004B27C3"/>
    <w:rsid w:val="004B677C"/>
    <w:rsid w:val="004C0EA6"/>
    <w:rsid w:val="004C25F4"/>
    <w:rsid w:val="004C6B59"/>
    <w:rsid w:val="00506539"/>
    <w:rsid w:val="005073C0"/>
    <w:rsid w:val="00513A04"/>
    <w:rsid w:val="0054198D"/>
    <w:rsid w:val="00541EEE"/>
    <w:rsid w:val="00550467"/>
    <w:rsid w:val="005526BB"/>
    <w:rsid w:val="005569A7"/>
    <w:rsid w:val="00576C0C"/>
    <w:rsid w:val="00587172"/>
    <w:rsid w:val="005B1854"/>
    <w:rsid w:val="005B732F"/>
    <w:rsid w:val="005C4DAC"/>
    <w:rsid w:val="005E0A3E"/>
    <w:rsid w:val="005F5C99"/>
    <w:rsid w:val="00605010"/>
    <w:rsid w:val="00605241"/>
    <w:rsid w:val="00613969"/>
    <w:rsid w:val="00626F22"/>
    <w:rsid w:val="00644CF8"/>
    <w:rsid w:val="00664EA9"/>
    <w:rsid w:val="0066638E"/>
    <w:rsid w:val="0067700F"/>
    <w:rsid w:val="0069082B"/>
    <w:rsid w:val="006945CB"/>
    <w:rsid w:val="006A58B0"/>
    <w:rsid w:val="006C3D3E"/>
    <w:rsid w:val="006C597D"/>
    <w:rsid w:val="006D3E12"/>
    <w:rsid w:val="006D7D44"/>
    <w:rsid w:val="006F5CAD"/>
    <w:rsid w:val="00717F3F"/>
    <w:rsid w:val="007452AE"/>
    <w:rsid w:val="007B380F"/>
    <w:rsid w:val="007B4237"/>
    <w:rsid w:val="007F0C6C"/>
    <w:rsid w:val="008124EA"/>
    <w:rsid w:val="00843139"/>
    <w:rsid w:val="0085620F"/>
    <w:rsid w:val="0089181F"/>
    <w:rsid w:val="0089774A"/>
    <w:rsid w:val="008D0746"/>
    <w:rsid w:val="008E5885"/>
    <w:rsid w:val="00917265"/>
    <w:rsid w:val="009258ED"/>
    <w:rsid w:val="00951868"/>
    <w:rsid w:val="00954F1F"/>
    <w:rsid w:val="0095716B"/>
    <w:rsid w:val="009610BA"/>
    <w:rsid w:val="00964C01"/>
    <w:rsid w:val="009A0115"/>
    <w:rsid w:val="009B0F7C"/>
    <w:rsid w:val="009D0DCA"/>
    <w:rsid w:val="009D1CF7"/>
    <w:rsid w:val="009E4507"/>
    <w:rsid w:val="00A13CFC"/>
    <w:rsid w:val="00A24B99"/>
    <w:rsid w:val="00A47AC8"/>
    <w:rsid w:val="00A511A3"/>
    <w:rsid w:val="00A573F4"/>
    <w:rsid w:val="00A623DA"/>
    <w:rsid w:val="00A64CC0"/>
    <w:rsid w:val="00A75176"/>
    <w:rsid w:val="00A838AC"/>
    <w:rsid w:val="00A9790D"/>
    <w:rsid w:val="00AC42D4"/>
    <w:rsid w:val="00AC6B13"/>
    <w:rsid w:val="00AE4BC3"/>
    <w:rsid w:val="00AE507D"/>
    <w:rsid w:val="00AF14B9"/>
    <w:rsid w:val="00AF2C4A"/>
    <w:rsid w:val="00B10DF7"/>
    <w:rsid w:val="00B11F02"/>
    <w:rsid w:val="00B14498"/>
    <w:rsid w:val="00B47131"/>
    <w:rsid w:val="00B61F25"/>
    <w:rsid w:val="00B62F4C"/>
    <w:rsid w:val="00B814CD"/>
    <w:rsid w:val="00B929F9"/>
    <w:rsid w:val="00BB71C8"/>
    <w:rsid w:val="00BC2364"/>
    <w:rsid w:val="00BC5016"/>
    <w:rsid w:val="00BF04C8"/>
    <w:rsid w:val="00C07F5E"/>
    <w:rsid w:val="00C3309F"/>
    <w:rsid w:val="00C404AA"/>
    <w:rsid w:val="00C423FF"/>
    <w:rsid w:val="00C61D44"/>
    <w:rsid w:val="00C62C8C"/>
    <w:rsid w:val="00C71A48"/>
    <w:rsid w:val="00C72919"/>
    <w:rsid w:val="00C76E24"/>
    <w:rsid w:val="00C81306"/>
    <w:rsid w:val="00C8135F"/>
    <w:rsid w:val="00C81A37"/>
    <w:rsid w:val="00CA63FA"/>
    <w:rsid w:val="00CA7D3E"/>
    <w:rsid w:val="00CE2C79"/>
    <w:rsid w:val="00CF4279"/>
    <w:rsid w:val="00CF6BE7"/>
    <w:rsid w:val="00D12673"/>
    <w:rsid w:val="00D2184C"/>
    <w:rsid w:val="00D25FF1"/>
    <w:rsid w:val="00D277AF"/>
    <w:rsid w:val="00D433A4"/>
    <w:rsid w:val="00D544E0"/>
    <w:rsid w:val="00D82EE3"/>
    <w:rsid w:val="00DB2481"/>
    <w:rsid w:val="00DB57BB"/>
    <w:rsid w:val="00DB6A4F"/>
    <w:rsid w:val="00E02E10"/>
    <w:rsid w:val="00E0458E"/>
    <w:rsid w:val="00E16727"/>
    <w:rsid w:val="00E330EA"/>
    <w:rsid w:val="00E53E34"/>
    <w:rsid w:val="00E5582C"/>
    <w:rsid w:val="00E620EA"/>
    <w:rsid w:val="00E82AD7"/>
    <w:rsid w:val="00E967C3"/>
    <w:rsid w:val="00E973AB"/>
    <w:rsid w:val="00EB1A00"/>
    <w:rsid w:val="00EB4312"/>
    <w:rsid w:val="00EC1B40"/>
    <w:rsid w:val="00ED0B93"/>
    <w:rsid w:val="00EF00CA"/>
    <w:rsid w:val="00EF1E5C"/>
    <w:rsid w:val="00F3392D"/>
    <w:rsid w:val="00F513D4"/>
    <w:rsid w:val="00F67840"/>
    <w:rsid w:val="00F703FE"/>
    <w:rsid w:val="00F9166D"/>
    <w:rsid w:val="00FB64AD"/>
    <w:rsid w:val="00FC7B48"/>
    <w:rsid w:val="00FD28AC"/>
    <w:rsid w:val="00FE5DE6"/>
    <w:rsid w:val="03EE6F2C"/>
    <w:rsid w:val="066D3907"/>
    <w:rsid w:val="0AA54BCA"/>
    <w:rsid w:val="0AB16ED5"/>
    <w:rsid w:val="0B972854"/>
    <w:rsid w:val="0C5D3A57"/>
    <w:rsid w:val="0E52688B"/>
    <w:rsid w:val="0F084D67"/>
    <w:rsid w:val="134C3538"/>
    <w:rsid w:val="15B11221"/>
    <w:rsid w:val="168D0B57"/>
    <w:rsid w:val="169A0967"/>
    <w:rsid w:val="1789105F"/>
    <w:rsid w:val="1CFD2714"/>
    <w:rsid w:val="1E354410"/>
    <w:rsid w:val="212A7244"/>
    <w:rsid w:val="21D00100"/>
    <w:rsid w:val="230A3C8B"/>
    <w:rsid w:val="23267F95"/>
    <w:rsid w:val="26E8326C"/>
    <w:rsid w:val="2C363A05"/>
    <w:rsid w:val="2DDB2F08"/>
    <w:rsid w:val="34CB3C86"/>
    <w:rsid w:val="36DFDA9D"/>
    <w:rsid w:val="370A25F2"/>
    <w:rsid w:val="3E1C72D0"/>
    <w:rsid w:val="3E8E77E8"/>
    <w:rsid w:val="3F0FF992"/>
    <w:rsid w:val="3FB86B84"/>
    <w:rsid w:val="3FF38FF4"/>
    <w:rsid w:val="40431DC3"/>
    <w:rsid w:val="415428DD"/>
    <w:rsid w:val="43460403"/>
    <w:rsid w:val="44240C8C"/>
    <w:rsid w:val="44AC2651"/>
    <w:rsid w:val="48DF5182"/>
    <w:rsid w:val="49F2330F"/>
    <w:rsid w:val="49FBD809"/>
    <w:rsid w:val="4E856D2C"/>
    <w:rsid w:val="51537DA9"/>
    <w:rsid w:val="521E2DD4"/>
    <w:rsid w:val="55FEF874"/>
    <w:rsid w:val="5BFCC723"/>
    <w:rsid w:val="5C846314"/>
    <w:rsid w:val="5CD5079F"/>
    <w:rsid w:val="5CDF5DEF"/>
    <w:rsid w:val="5D11E850"/>
    <w:rsid w:val="5FED3094"/>
    <w:rsid w:val="60040EBE"/>
    <w:rsid w:val="62963B80"/>
    <w:rsid w:val="669F05BC"/>
    <w:rsid w:val="67DBB6DF"/>
    <w:rsid w:val="6DBA60DB"/>
    <w:rsid w:val="6EBF61B1"/>
    <w:rsid w:val="6FCBE486"/>
    <w:rsid w:val="6FEF6E7C"/>
    <w:rsid w:val="6FF76B75"/>
    <w:rsid w:val="7455649A"/>
    <w:rsid w:val="75CDA875"/>
    <w:rsid w:val="76AF619F"/>
    <w:rsid w:val="778EF86C"/>
    <w:rsid w:val="77F1631E"/>
    <w:rsid w:val="78857244"/>
    <w:rsid w:val="79FF8E21"/>
    <w:rsid w:val="7B9773F6"/>
    <w:rsid w:val="7BBFD774"/>
    <w:rsid w:val="7C4A4A2C"/>
    <w:rsid w:val="7DAFD604"/>
    <w:rsid w:val="7DFFDB46"/>
    <w:rsid w:val="7EB79E57"/>
    <w:rsid w:val="7EFB4CD6"/>
    <w:rsid w:val="7F3AA152"/>
    <w:rsid w:val="7FB5F150"/>
    <w:rsid w:val="7FD96935"/>
    <w:rsid w:val="7FDCF21C"/>
    <w:rsid w:val="7FDFD0C3"/>
    <w:rsid w:val="7FF6BAEB"/>
    <w:rsid w:val="91E9F06D"/>
    <w:rsid w:val="9C81E005"/>
    <w:rsid w:val="9DB59037"/>
    <w:rsid w:val="9F7B69C8"/>
    <w:rsid w:val="9FEFC00E"/>
    <w:rsid w:val="ABF6F685"/>
    <w:rsid w:val="B6884B86"/>
    <w:rsid w:val="B9D7297B"/>
    <w:rsid w:val="BB7F5000"/>
    <w:rsid w:val="BFBF9D01"/>
    <w:rsid w:val="C5FFC6C5"/>
    <w:rsid w:val="CA370EC1"/>
    <w:rsid w:val="CEFF57E4"/>
    <w:rsid w:val="D767F17E"/>
    <w:rsid w:val="D7DE4FF4"/>
    <w:rsid w:val="D7F77700"/>
    <w:rsid w:val="DDEF1830"/>
    <w:rsid w:val="DDF39567"/>
    <w:rsid w:val="E3BF03BD"/>
    <w:rsid w:val="E6D6CDC9"/>
    <w:rsid w:val="E6FF565B"/>
    <w:rsid w:val="E9AF5F51"/>
    <w:rsid w:val="EDEB2C51"/>
    <w:rsid w:val="EF6EF153"/>
    <w:rsid w:val="F28F0B34"/>
    <w:rsid w:val="F5BB0386"/>
    <w:rsid w:val="F7BF9522"/>
    <w:rsid w:val="F7FD1936"/>
    <w:rsid w:val="FCFF36F8"/>
    <w:rsid w:val="FD1FD1D4"/>
    <w:rsid w:val="FDFEAF04"/>
    <w:rsid w:val="FEFF088D"/>
    <w:rsid w:val="FFB13364"/>
    <w:rsid w:val="FFF08F0E"/>
    <w:rsid w:val="FFFAD7CE"/>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0" w:semiHidden="0" w:name="Normal Indent"/>
    <w:lsdException w:uiPriority="0" w:name="footnote text"/>
    <w:lsdException w:qFormat="1" w:unhideWhenUsed="0" w:uiPriority="0" w:semiHidden="0" w:name="annotation text"/>
    <w:lsdException w:qFormat="1" w:uiPriority="99" w:semiHidden="0" w:name="header"/>
    <w:lsdException w:qFormat="1"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qFormat="1" w:uiPriority="0" w:name="Body Text"/>
    <w:lsdException w:qFormat="1" w:unhideWhenUsed="0"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黑体"/>
      <w:kern w:val="2"/>
      <w:sz w:val="21"/>
      <w:szCs w:val="22"/>
      <w:lang w:val="en-US" w:eastAsia="zh-CN" w:bidi="ar-SA"/>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Normal Indent"/>
    <w:basedOn w:val="1"/>
    <w:unhideWhenUsed/>
    <w:qFormat/>
    <w:uiPriority w:val="0"/>
    <w:pPr>
      <w:overflowPunct w:val="0"/>
      <w:snapToGrid w:val="0"/>
      <w:spacing w:line="590" w:lineRule="exact"/>
      <w:ind w:firstLine="420" w:firstLineChars="200"/>
    </w:pPr>
    <w:rPr>
      <w:sz w:val="32"/>
    </w:rPr>
  </w:style>
  <w:style w:type="paragraph" w:styleId="3">
    <w:name w:val="annotation text"/>
    <w:basedOn w:val="1"/>
    <w:link w:val="20"/>
    <w:qFormat/>
    <w:uiPriority w:val="0"/>
    <w:pPr>
      <w:jc w:val="left"/>
    </w:pPr>
    <w:rPr>
      <w:rFonts w:ascii="Times New Roman" w:hAnsi="Times New Roman" w:cs="Times New Roman"/>
      <w:szCs w:val="24"/>
    </w:rPr>
  </w:style>
  <w:style w:type="paragraph" w:styleId="4">
    <w:name w:val="Body Text"/>
    <w:basedOn w:val="1"/>
    <w:link w:val="19"/>
    <w:semiHidden/>
    <w:unhideWhenUsed/>
    <w:qFormat/>
    <w:uiPriority w:val="0"/>
    <w:pPr>
      <w:spacing w:after="120"/>
    </w:pPr>
  </w:style>
  <w:style w:type="paragraph" w:styleId="5">
    <w:name w:val="Body Text Indent"/>
    <w:basedOn w:val="1"/>
    <w:link w:val="17"/>
    <w:semiHidden/>
    <w:qFormat/>
    <w:uiPriority w:val="0"/>
    <w:pPr>
      <w:ind w:firstLine="640" w:firstLineChars="200"/>
    </w:pPr>
    <w:rPr>
      <w:rFonts w:ascii="仿宋_GB2312" w:hAnsi="Times New Roman" w:eastAsia="仿宋_GB2312" w:cs="Times New Roman"/>
      <w:sz w:val="32"/>
      <w:szCs w:val="32"/>
    </w:rPr>
  </w:style>
  <w:style w:type="paragraph" w:styleId="6">
    <w:name w:val="Balloon Text"/>
    <w:basedOn w:val="1"/>
    <w:link w:val="18"/>
    <w:semiHidden/>
    <w:unhideWhenUsed/>
    <w:qFormat/>
    <w:uiPriority w:val="0"/>
    <w:rPr>
      <w:sz w:val="18"/>
      <w:szCs w:val="18"/>
    </w:rPr>
  </w:style>
  <w:style w:type="paragraph" w:styleId="7">
    <w:name w:val="footer"/>
    <w:basedOn w:val="1"/>
    <w:link w:val="16"/>
    <w:unhideWhenUsed/>
    <w:qFormat/>
    <w:uiPriority w:val="99"/>
    <w:pPr>
      <w:tabs>
        <w:tab w:val="center" w:pos="4153"/>
        <w:tab w:val="right" w:pos="8306"/>
      </w:tabs>
      <w:snapToGrid w:val="0"/>
      <w:jc w:val="left"/>
    </w:pPr>
    <w:rPr>
      <w:sz w:val="18"/>
      <w:szCs w:val="18"/>
    </w:rPr>
  </w:style>
  <w:style w:type="paragraph" w:styleId="8">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Title"/>
    <w:basedOn w:val="1"/>
    <w:qFormat/>
    <w:uiPriority w:val="10"/>
    <w:pPr>
      <w:spacing w:before="240" w:beforeLines="0" w:beforeAutospacing="0" w:after="60" w:afterLines="0" w:afterAutospacing="0"/>
      <w:jc w:val="center"/>
      <w:outlineLvl w:val="0"/>
    </w:pPr>
    <w:rPr>
      <w:rFonts w:ascii="Arial" w:hAnsi="Arial"/>
      <w:b/>
      <w:sz w:val="32"/>
    </w:rPr>
  </w:style>
  <w:style w:type="table" w:styleId="11">
    <w:name w:val="Table Grid"/>
    <w:basedOn w:val="1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3">
    <w:name w:val="ft002"/>
    <w:basedOn w:val="1"/>
    <w:qFormat/>
    <w:uiPriority w:val="0"/>
    <w:pPr>
      <w:widowControl/>
      <w:jc w:val="left"/>
    </w:pPr>
    <w:rPr>
      <w:rFonts w:ascii="Times" w:hAnsi="Times" w:cs="Times"/>
      <w:color w:val="000000"/>
      <w:kern w:val="0"/>
      <w:sz w:val="20"/>
      <w:szCs w:val="20"/>
    </w:rPr>
  </w:style>
  <w:style w:type="paragraph" w:customStyle="1" w:styleId="14">
    <w:name w:val="ft013"/>
    <w:basedOn w:val="1"/>
    <w:qFormat/>
    <w:uiPriority w:val="0"/>
    <w:pPr>
      <w:widowControl/>
      <w:jc w:val="left"/>
    </w:pPr>
    <w:rPr>
      <w:rFonts w:ascii="Times" w:hAnsi="Times" w:cs="Times"/>
      <w:color w:val="000000"/>
      <w:kern w:val="0"/>
      <w:sz w:val="20"/>
      <w:szCs w:val="20"/>
    </w:rPr>
  </w:style>
  <w:style w:type="character" w:customStyle="1" w:styleId="15">
    <w:name w:val="页眉 Char"/>
    <w:basedOn w:val="12"/>
    <w:link w:val="8"/>
    <w:semiHidden/>
    <w:qFormat/>
    <w:uiPriority w:val="99"/>
    <w:rPr>
      <w:sz w:val="18"/>
      <w:szCs w:val="18"/>
    </w:rPr>
  </w:style>
  <w:style w:type="character" w:customStyle="1" w:styleId="16">
    <w:name w:val="页脚 Char"/>
    <w:basedOn w:val="12"/>
    <w:link w:val="7"/>
    <w:semiHidden/>
    <w:qFormat/>
    <w:uiPriority w:val="99"/>
    <w:rPr>
      <w:sz w:val="18"/>
      <w:szCs w:val="18"/>
    </w:rPr>
  </w:style>
  <w:style w:type="character" w:customStyle="1" w:styleId="17">
    <w:name w:val="正文文本缩进 Char"/>
    <w:basedOn w:val="12"/>
    <w:link w:val="5"/>
    <w:semiHidden/>
    <w:qFormat/>
    <w:uiPriority w:val="0"/>
    <w:rPr>
      <w:rFonts w:ascii="仿宋_GB2312" w:hAnsi="Times New Roman" w:eastAsia="仿宋_GB2312" w:cs="Times New Roman"/>
      <w:sz w:val="32"/>
      <w:szCs w:val="32"/>
    </w:rPr>
  </w:style>
  <w:style w:type="character" w:customStyle="1" w:styleId="18">
    <w:name w:val="批注框文本 Char"/>
    <w:basedOn w:val="12"/>
    <w:link w:val="6"/>
    <w:semiHidden/>
    <w:qFormat/>
    <w:uiPriority w:val="0"/>
    <w:rPr>
      <w:rFonts w:ascii="Calibri" w:hAnsi="Calibri" w:cs="黑体"/>
      <w:kern w:val="2"/>
      <w:sz w:val="18"/>
      <w:szCs w:val="18"/>
    </w:rPr>
  </w:style>
  <w:style w:type="character" w:customStyle="1" w:styleId="19">
    <w:name w:val="正文文本 Char"/>
    <w:basedOn w:val="12"/>
    <w:link w:val="4"/>
    <w:semiHidden/>
    <w:qFormat/>
    <w:uiPriority w:val="0"/>
    <w:rPr>
      <w:rFonts w:ascii="Calibri" w:hAnsi="Calibri" w:cs="黑体"/>
      <w:kern w:val="2"/>
      <w:sz w:val="21"/>
      <w:szCs w:val="22"/>
    </w:rPr>
  </w:style>
  <w:style w:type="character" w:customStyle="1" w:styleId="20">
    <w:name w:val="批注文字 Char"/>
    <w:basedOn w:val="12"/>
    <w:link w:val="3"/>
    <w:qFormat/>
    <w:uiPriority w:val="0"/>
    <w:rPr>
      <w:kern w:val="2"/>
      <w:sz w:val="21"/>
      <w:szCs w:val="24"/>
    </w:rPr>
  </w:style>
  <w:style w:type="paragraph" w:styleId="21">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Pages>
  <Words>2794</Words>
  <Characters>2890</Characters>
  <Lines>61</Lines>
  <Paragraphs>17</Paragraphs>
  <TotalTime>1</TotalTime>
  <ScaleCrop>false</ScaleCrop>
  <LinksUpToDate>false</LinksUpToDate>
  <CharactersWithSpaces>2904</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2017-10-30T08:39:00Z</dcterms:created>
  <dc:creator>吴秋峰</dc:creator>
  <cp:lastModifiedBy>kylin</cp:lastModifiedBy>
  <cp:lastPrinted>2024-09-03T08:43:00Z</cp:lastPrinted>
  <dcterms:modified xsi:type="dcterms:W3CDTF">2025-04-25T15:38:57Z</dcterms:modified>
  <dc:title>附件2</dc:title>
  <cp:revision>158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y fmtid="{D5CDD505-2E9C-101B-9397-08002B2CF9AE}" pid="3" name="ICV">
    <vt:lpwstr>8255E786E8644CB69D2C738690D92773_13</vt:lpwstr>
  </property>
  <property fmtid="{D5CDD505-2E9C-101B-9397-08002B2CF9AE}" pid="4" name="KSOTemplateDocerSaveRecord">
    <vt:lpwstr>eyJoZGlkIjoiMTRkMzY0ZDcyZDZhNjUzYjQ3ZDFiMTE2NTVkNWQwZTYifQ==</vt:lpwstr>
  </property>
</Properties>
</file>