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F" w:rsidRDefault="0042496D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C31548">
        <w:rPr>
          <w:rFonts w:asciiTheme="majorEastAsia" w:eastAsiaTheme="majorEastAsia" w:hAnsiTheme="majorEastAsia" w:hint="eastAsia"/>
          <w:sz w:val="36"/>
          <w:szCs w:val="36"/>
        </w:rPr>
        <w:t>征求意见汇总处理表</w:t>
      </w:r>
    </w:p>
    <w:p w:rsidR="005B7E1C" w:rsidRPr="005B7E1C" w:rsidRDefault="005B7E1C">
      <w:pPr>
        <w:jc w:val="center"/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959"/>
        <w:gridCol w:w="1701"/>
        <w:gridCol w:w="6662"/>
        <w:gridCol w:w="945"/>
        <w:gridCol w:w="3907"/>
      </w:tblGrid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意见内容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是否采纳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理由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舟山市港航和口岸管理局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FF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鉴于海上</w:t>
            </w:r>
            <w:r>
              <w:rPr>
                <w:rFonts w:ascii="Times New Roman" w:eastAsia="宋体" w:hAnsi="Times New Roman" w:cs="Times New Roman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szCs w:val="21"/>
              </w:rPr>
              <w:t>加注作业一般需要持续十几到二十个小时左右，白天加注作业很难完成，因此夜间作业将成为常态，建议第二十一条表述改为：海上</w:t>
            </w:r>
            <w:r>
              <w:rPr>
                <w:rFonts w:ascii="Times New Roman" w:eastAsia="宋体" w:hAnsi="Times New Roman" w:cs="Times New Roman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szCs w:val="21"/>
              </w:rPr>
              <w:t>加注作业一般应当在白天进行靠离泊。夜间靠离泊及航行须审慎评估和严格管控。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部分</w:t>
            </w:r>
          </w:p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采纳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考虑到夜间靠泊作业、加注准备和开始阶段的风险性，本条文修改为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szCs w:val="21"/>
              </w:rPr>
              <w:t>加注船和受注船的靠泊作业宜在白天进行，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加注作业宜在白天开始。</w:t>
            </w:r>
            <w:r>
              <w:rPr>
                <w:rFonts w:ascii="Times New Roman" w:eastAsia="宋体" w:hAnsi="Times New Roman" w:cs="Times New Roman"/>
                <w:szCs w:val="21"/>
              </w:rPr>
              <w:t>夜间加注作业须审慎评估并落实相应保障措施。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对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第三条【总体要求】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加注作业不得通过不符合国家相关法律法规、标准和规范要求的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运输船、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罐柜、槽罐加注车和作业人员进行。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建议修改为：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加注船、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罐柜、槽罐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加注车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和作业人员进行。以便和第二条相一致（明确只有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船才能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进行加注业务，运输船肯定是不行的）。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部分</w:t>
            </w:r>
          </w:p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采纳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对照《水上液化天然气加注作业安全监督管理办法》（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海危防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）第四条</w:t>
            </w:r>
            <w:r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燃料动力船舶（以下简称船舶）可通过加注船、加注趸船、岸基加注站、槽罐加注车等加注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燃料，不得通过不</w:t>
            </w:r>
            <w:bookmarkStart w:id="0" w:name="_GoBack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具备加注功能的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运输船、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罐柜直接加</w:t>
            </w:r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燃料。</w:t>
            </w:r>
            <w:r>
              <w:rPr>
                <w:rFonts w:ascii="Times New Roman" w:eastAsia="宋体" w:hAnsi="Times New Roman" w:cs="Times New Roman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szCs w:val="21"/>
              </w:rPr>
              <w:t>和第十一条</w:t>
            </w:r>
            <w:r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szCs w:val="21"/>
              </w:rPr>
              <w:t>船舶不得通过不符合国家相关法律法规、标准和规范要求的槽罐车和作业人员进行水上</w:t>
            </w:r>
            <w:r>
              <w:rPr>
                <w:rFonts w:ascii="Times New Roman" w:eastAsia="宋体" w:hAnsi="Times New Roman" w:cs="Times New Roman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szCs w:val="21"/>
              </w:rPr>
              <w:t>加注作业</w:t>
            </w:r>
            <w:r>
              <w:rPr>
                <w:rFonts w:ascii="Times New Roman" w:eastAsia="宋体" w:hAnsi="Times New Roman" w:cs="Times New Roman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szCs w:val="21"/>
              </w:rPr>
              <w:t>，本条文修改为</w:t>
            </w:r>
            <w:r>
              <w:rPr>
                <w:rFonts w:ascii="Times New Roman" w:eastAsia="宋体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受注船</w:t>
            </w:r>
            <w:r>
              <w:rPr>
                <w:rFonts w:ascii="Times New Roman" w:eastAsia="宋体" w:hAnsi="Times New Roman" w:cs="Times New Roman"/>
                <w:szCs w:val="21"/>
              </w:rPr>
              <w:t>不得通过不具备加注功能的</w:t>
            </w:r>
            <w:r>
              <w:rPr>
                <w:rFonts w:ascii="Times New Roman" w:eastAsia="宋体" w:hAnsi="Times New Roman" w:cs="Times New Roman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szCs w:val="21"/>
              </w:rPr>
              <w:t>运输船、</w:t>
            </w:r>
            <w:r>
              <w:rPr>
                <w:rFonts w:ascii="Times New Roman" w:eastAsia="宋体" w:hAnsi="Times New Roman" w:cs="Times New Roman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szCs w:val="21"/>
              </w:rPr>
              <w:t>罐柜，以及不符合国家相关法律法规、标准和规范要求的槽罐加注车和作业人员进行</w:t>
            </w:r>
            <w:r>
              <w:rPr>
                <w:rFonts w:ascii="Times New Roman" w:eastAsia="宋体" w:hAnsi="Times New Roman" w:cs="Times New Roman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szCs w:val="21"/>
              </w:rPr>
              <w:t>加注作业。</w:t>
            </w:r>
            <w:r>
              <w:rPr>
                <w:rFonts w:ascii="Times New Roman" w:eastAsia="宋体" w:hAnsi="Times New Roman" w:cs="Times New Roman"/>
                <w:szCs w:val="21"/>
              </w:rPr>
              <w:t>”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对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第六条【对加注船体系管理要求】（四）应制定教育培训制度，加强海上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运输、作业的安全知识教育，确保相关人员熟悉相关规定和操作规程，掌握相应的操作技能，并提高应急反应能力；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建议修改为：加强海上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运输和加注作业的安全知识教育，确保相关人员熟悉相关规定和操作规程，掌握相应的操作技能，并提高应急反应能力。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采纳此修改建议。本条文修改为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（四）应制定教育培训制度，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加强海上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运输和加注作业的安全知识教育，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确保相关人员熟悉相关规定和操作规程，掌握相应的操作技能，并提高应急反应能力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对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第十条【专题论证】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加注船进出沿海港口和在港停泊、作业，应当开展专题论证，确定护航、安全距离、应急锚地、安全警示标志等安全保障措施。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建议修改为：第十条【专题论证】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加注船在管辖水域航行、进出港、停泊（锚泊）、作业，应依据要求开展专题论证，确定护航和警戒方式及范围、应急锚地、安全警示标志等安全保障措施。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此条文引用《船舶载运危险货物安全监督管理规定》第三十五条第二款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shd w:val="clear" w:color="auto" w:fill="FFFFFF"/>
              </w:rPr>
              <w:t>载运散装液化天然气船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shd w:val="clear" w:color="auto" w:fill="FFFFFF"/>
              </w:rPr>
              <w:t>舶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shd w:val="clear" w:color="auto" w:fill="FFFFFF"/>
              </w:rPr>
              <w:t>及载运其他具有低闪点特性的气态燃料的船舶，进出沿海港口和在港停泊、作业，应当通过开展专题论证，确定护航、安全距离、应急锚地、安全警示标志等安全保障措施。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的表述，因此不采纳修改建议。</w:t>
            </w:r>
          </w:p>
        </w:tc>
      </w:tr>
      <w:tr w:rsidR="00473D2F" w:rsidTr="005B7E1C">
        <w:trPr>
          <w:trHeight w:val="1724"/>
        </w:trPr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关于第十一条和第十二条，加注船停泊水域、作业水域和应急锚地原则上应经过综合评估后，由政府及主管机关或海事指定。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3907" w:type="dxa"/>
            <w:vAlign w:val="center"/>
          </w:tcPr>
          <w:p w:rsidR="00473D2F" w:rsidRDefault="0042496D" w:rsidP="00E2660B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征求意见稿中第十一条和第十二条拟定目的是明确加注船停泊、作业水域和应急锚地设置的原则要求。对于锚地等</w:t>
            </w:r>
            <w:r w:rsidR="00E2660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水域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如何公布，已有相应规定明确。因此，不采纳修改建议。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第十三条【每次作业安全风险评估】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开展海上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加注作业，作业各方应开展作业安全风险评估，根据加注作业方式、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受注船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船型、加注水域通航条件等制定加注作业方案、操作手册和应急手册，明确安全作业限制条件。建议把操作手册和应急手册删除。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加注作业方案中一般包含操作手册和应急手册，因此采纳此修改建议。本条文修改为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开展海上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加注作业，作业各方应开展作业安全风险评估，根据加注作业方式、受注船船型、加注水域通航条件等制定加注作业方案，明确安全作业限制条件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第十九条【作业记录要求】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加注作业结束后，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受注船应当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在《航海日志》和《轮机日志》上如实记录作业时间、地点、作业方式、加注数量以及加注单位；加注单位应当如实填写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加注单，并将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单提供给受注船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。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受注船应当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将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加注单留存三年。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建议将《轮机日志》删除，并且将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单修改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LNG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燃料加注交付单。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此条文</w:t>
            </w:r>
            <w:r>
              <w:rPr>
                <w:rFonts w:ascii="Times New Roman" w:eastAsia="宋体" w:hAnsi="Times New Roman" w:cs="Times New Roman"/>
                <w:szCs w:val="21"/>
              </w:rPr>
              <w:t>引用《水上液化天然气加注作业安全监督管理办法》（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海危防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148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第十二条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水上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加注作业结束后，船舶应当在《航海日志》和《轮机日志》上如实记录作业时间、地点、作业方式、加注数量以及作业单位（船舶）；加注作业单位应当如实填写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加注单，并将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加注单提供给受注船舶。船舶应当将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加注单留存三年。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，因此不采纳修改建议。</w:t>
            </w:r>
          </w:p>
        </w:tc>
      </w:tr>
      <w:tr w:rsidR="00473D2F">
        <w:tc>
          <w:tcPr>
            <w:tcW w:w="959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浙江自贸区新奥海事服务有限公司</w:t>
            </w:r>
          </w:p>
        </w:tc>
        <w:tc>
          <w:tcPr>
            <w:tcW w:w="6662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第二十三条【船舶和码头应急响应计划及演练要求】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船应当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在餐厅、会议室、值班室及作业现场等公共场所内张贴海上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加注作业船应变部署表。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建议修改为加注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船应当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在驾驶台、机舱集控室、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货控室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及餐厅等公共场所内张贴海上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加注作业船应变部署表和应急通信联络表。</w:t>
            </w:r>
          </w:p>
        </w:tc>
        <w:tc>
          <w:tcPr>
            <w:tcW w:w="945" w:type="dxa"/>
            <w:vAlign w:val="center"/>
          </w:tcPr>
          <w:p w:rsidR="00473D2F" w:rsidRDefault="0042496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3907" w:type="dxa"/>
            <w:vAlign w:val="center"/>
          </w:tcPr>
          <w:p w:rsidR="00473D2F" w:rsidRDefault="0042496D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采纳此修改建议。本条文修改为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加注船应当在驾驶台、机舱集控室、货控室及餐厅等公共场所内张贴海上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LNG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加注作业船应变部署表和应急通信联络表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”</w:t>
            </w:r>
          </w:p>
        </w:tc>
      </w:tr>
    </w:tbl>
    <w:p w:rsidR="00473D2F" w:rsidRDefault="00473D2F">
      <w:pPr>
        <w:rPr>
          <w:rFonts w:ascii="Times New Roman" w:eastAsia="宋体" w:hAnsi="Times New Roman" w:cs="Times New Roman"/>
          <w:szCs w:val="21"/>
        </w:rPr>
      </w:pPr>
    </w:p>
    <w:sectPr w:rsidR="00473D2F" w:rsidSect="00473D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22" w:rsidRDefault="00097D22" w:rsidP="00C31548">
      <w:r>
        <w:separator/>
      </w:r>
    </w:p>
  </w:endnote>
  <w:endnote w:type="continuationSeparator" w:id="0">
    <w:p w:rsidR="00097D22" w:rsidRDefault="00097D22" w:rsidP="00C3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22" w:rsidRDefault="00097D22" w:rsidP="00C31548">
      <w:r>
        <w:separator/>
      </w:r>
    </w:p>
  </w:footnote>
  <w:footnote w:type="continuationSeparator" w:id="0">
    <w:p w:rsidR="00097D22" w:rsidRDefault="00097D22" w:rsidP="00C31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jM1ODZiNWFmMzZmMWRkODUwNTU5ZTcwNmJkZDMyYWUifQ=="/>
  </w:docVars>
  <w:rsids>
    <w:rsidRoot w:val="0072629A"/>
    <w:rsid w:val="DF7F00F1"/>
    <w:rsid w:val="DFF0E063"/>
    <w:rsid w:val="EC758719"/>
    <w:rsid w:val="00097D22"/>
    <w:rsid w:val="000A553A"/>
    <w:rsid w:val="001771BB"/>
    <w:rsid w:val="001A4314"/>
    <w:rsid w:val="0042496D"/>
    <w:rsid w:val="00473D2F"/>
    <w:rsid w:val="005B7E1C"/>
    <w:rsid w:val="0072629A"/>
    <w:rsid w:val="008214DA"/>
    <w:rsid w:val="00B84CAE"/>
    <w:rsid w:val="00B94190"/>
    <w:rsid w:val="00BD677E"/>
    <w:rsid w:val="00C31548"/>
    <w:rsid w:val="00D36834"/>
    <w:rsid w:val="00E2660B"/>
    <w:rsid w:val="4FFF3E31"/>
    <w:rsid w:val="68BD4216"/>
    <w:rsid w:val="75FDF2C2"/>
    <w:rsid w:val="77F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73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73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73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73D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73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333</Words>
  <Characters>1900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5F7B3EF3-3157-D3F1-0E05-34E0110C6701</dc:creator>
  <cp:lastModifiedBy>yuk</cp:lastModifiedBy>
  <cp:revision>7</cp:revision>
  <dcterms:created xsi:type="dcterms:W3CDTF">2023-03-09T00:39:00Z</dcterms:created>
  <dcterms:modified xsi:type="dcterms:W3CDTF">2023-03-10T03:31:00Z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77A6276C49BD49C79298F8586E812376</vt:lpwstr>
  </property>
</Properties>
</file>