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36"/>
        </w:rPr>
      </w:pPr>
      <w:bookmarkStart w:id="16" w:name="_GoBack"/>
      <w:bookmarkEnd w:id="16"/>
    </w:p>
    <w:p>
      <w:pPr>
        <w:rPr>
          <w:rFonts w:ascii="宋体" w:hAnsi="宋体"/>
          <w:b/>
          <w:sz w:val="36"/>
        </w:rPr>
      </w:pPr>
    </w:p>
    <w:p>
      <w:pPr>
        <w:rPr>
          <w:rFonts w:ascii="宋体" w:hAnsi="宋体"/>
          <w:b/>
          <w:sz w:val="36"/>
        </w:rPr>
      </w:pPr>
    </w:p>
    <w:p>
      <w:pPr>
        <w:rPr>
          <w:rFonts w:ascii="宋体" w:hAnsi="宋体"/>
          <w:b/>
          <w:sz w:val="36"/>
        </w:rPr>
      </w:pPr>
    </w:p>
    <w:p>
      <w:pPr>
        <w:jc w:val="center"/>
        <w:rPr>
          <w:rFonts w:ascii="宋体" w:hAnsi="宋体"/>
          <w:b/>
          <w:sz w:val="52"/>
        </w:rPr>
      </w:pPr>
      <w:r>
        <w:rPr>
          <w:rFonts w:hint="eastAsia" w:ascii="宋体" w:hAnsi="宋体"/>
          <w:b/>
          <w:sz w:val="52"/>
        </w:rPr>
        <w:t>浙江海事局后勤管理中心</w:t>
      </w:r>
    </w:p>
    <w:p>
      <w:pPr>
        <w:jc w:val="center"/>
        <w:rPr>
          <w:rFonts w:ascii="宋体" w:hAnsi="宋体"/>
          <w:b/>
          <w:sz w:val="52"/>
        </w:rPr>
      </w:pPr>
      <w:r>
        <w:rPr>
          <w:rFonts w:hint="eastAsia" w:ascii="宋体" w:hAnsi="宋体"/>
          <w:b/>
          <w:sz w:val="52"/>
        </w:rPr>
        <w:t>2020年度部门决算</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jc w:val="center"/>
        <w:rPr>
          <w:rFonts w:ascii="仿宋_GB2312" w:eastAsia="仿宋_GB2312"/>
        </w:rPr>
      </w:pPr>
      <w:r>
        <w:rPr>
          <w:rFonts w:hint="eastAsia" w:ascii="仿宋_GB2312" w:eastAsia="仿宋_GB2312"/>
          <w:sz w:val="36"/>
          <w:szCs w:val="36"/>
        </w:rPr>
        <w:t>二O二一年八月</w:t>
      </w:r>
    </w:p>
    <w:p>
      <w:pPr>
        <w:rPr>
          <w:rFonts w:ascii="仿宋_GB2312" w:eastAsia="仿宋_GB2312"/>
        </w:rPr>
      </w:pPr>
    </w:p>
    <w:p>
      <w:pPr>
        <w:rPr>
          <w:rFonts w:ascii="仿宋_GB2312" w:eastAsia="仿宋_GB2312"/>
        </w:rPr>
      </w:pPr>
    </w:p>
    <w:p>
      <w:pPr>
        <w:rPr>
          <w:rFonts w:ascii="宋体" w:hAnsi="宋体"/>
          <w:b/>
          <w:sz w:val="36"/>
          <w:szCs w:val="32"/>
        </w:rPr>
        <w:sectPr>
          <w:pgSz w:w="11906" w:h="16838"/>
          <w:pgMar w:top="1440" w:right="1800" w:bottom="1440" w:left="1800" w:header="851" w:footer="992" w:gutter="0"/>
          <w:cols w:space="425" w:num="1"/>
          <w:docGrid w:type="lines" w:linePitch="312" w:charSpace="0"/>
        </w:sectPr>
      </w:pPr>
    </w:p>
    <w:p>
      <w:pPr>
        <w:pStyle w:val="22"/>
        <w:jc w:val="center"/>
        <w:rPr>
          <w:color w:val="000000" w:themeColor="text1"/>
          <w:sz w:val="40"/>
        </w:rPr>
      </w:pPr>
      <w:r>
        <w:rPr>
          <w:color w:val="000000" w:themeColor="text1"/>
          <w:sz w:val="40"/>
          <w:lang w:val="zh-CN"/>
        </w:rPr>
        <w:t>目</w:t>
      </w:r>
      <w:r>
        <w:rPr>
          <w:rFonts w:hint="eastAsia"/>
          <w:color w:val="000000" w:themeColor="text1"/>
          <w:sz w:val="40"/>
          <w:lang w:val="zh-CN"/>
        </w:rPr>
        <w:t xml:space="preserve">     </w:t>
      </w:r>
      <w:r>
        <w:rPr>
          <w:color w:val="000000" w:themeColor="text1"/>
          <w:sz w:val="40"/>
          <w:lang w:val="zh-CN"/>
        </w:rPr>
        <w:t>录</w:t>
      </w:r>
    </w:p>
    <w:p>
      <w:pPr>
        <w:pStyle w:val="7"/>
        <w:tabs>
          <w:tab w:val="right" w:leader="dot" w:pos="8296"/>
        </w:tabs>
        <w:rPr>
          <w:rFonts w:ascii="仿宋_GB2312" w:eastAsia="仿宋_GB2312" w:hAnsiTheme="minorHAnsi" w:cstheme="minorBidi"/>
          <w:sz w:val="32"/>
          <w:szCs w:val="32"/>
        </w:rPr>
      </w:pP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TOC \o "1-3" \h \z \u </w:instrText>
      </w:r>
      <w:r>
        <w:rPr>
          <w:rFonts w:hint="eastAsia" w:ascii="仿宋_GB2312" w:hAnsi="宋体" w:eastAsia="仿宋_GB2312"/>
          <w:sz w:val="32"/>
          <w:szCs w:val="32"/>
        </w:rPr>
        <w:fldChar w:fldCharType="separate"/>
      </w:r>
      <w:r>
        <w:fldChar w:fldCharType="begin"/>
      </w:r>
      <w:r>
        <w:instrText xml:space="preserve"> HYPERLINK \l "_Toc536437201" </w:instrText>
      </w:r>
      <w:r>
        <w:fldChar w:fldCharType="separate"/>
      </w:r>
      <w:r>
        <w:rPr>
          <w:rStyle w:val="11"/>
          <w:rFonts w:hint="eastAsia" w:ascii="仿宋_GB2312" w:eastAsia="仿宋_GB2312"/>
          <w:sz w:val="32"/>
          <w:szCs w:val="32"/>
        </w:rPr>
        <w:t>第一部分 单位概况</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_Toc536437201 \h </w:instrText>
      </w:r>
      <w:r>
        <w:rPr>
          <w:rFonts w:hint="eastAsia" w:ascii="仿宋_GB2312" w:eastAsia="仿宋_GB2312"/>
          <w:sz w:val="32"/>
          <w:szCs w:val="32"/>
        </w:rPr>
        <w:fldChar w:fldCharType="separate"/>
      </w:r>
      <w:r>
        <w:rPr>
          <w:rFonts w:hint="eastAsia" w:ascii="仿宋_GB2312" w:eastAsia="仿宋_GB2312"/>
          <w:sz w:val="32"/>
          <w:szCs w:val="32"/>
        </w:rPr>
        <w:t>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"_Toc536437202" </w:instrText>
      </w:r>
      <w:r>
        <w:fldChar w:fldCharType="separate"/>
      </w:r>
      <w:r>
        <w:rPr>
          <w:rStyle w:val="11"/>
          <w:rFonts w:hint="eastAsia" w:ascii="仿宋_GB2312" w:hAnsi="宋体" w:eastAsia="仿宋_GB2312"/>
          <w:sz w:val="32"/>
          <w:szCs w:val="32"/>
        </w:rPr>
        <w:t>一、主要职能</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_Toc536437202 \h </w:instrText>
      </w:r>
      <w:r>
        <w:rPr>
          <w:rFonts w:hint="eastAsia" w:ascii="仿宋_GB2312" w:eastAsia="仿宋_GB2312"/>
          <w:sz w:val="32"/>
          <w:szCs w:val="32"/>
        </w:rPr>
        <w:fldChar w:fldCharType="separate"/>
      </w:r>
      <w:r>
        <w:rPr>
          <w:rFonts w:hint="eastAsia" w:ascii="仿宋_GB2312" w:eastAsia="仿宋_GB2312"/>
          <w:sz w:val="32"/>
          <w:szCs w:val="32"/>
        </w:rPr>
        <w:t>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"_Toc536437203" </w:instrText>
      </w:r>
      <w:r>
        <w:fldChar w:fldCharType="separate"/>
      </w:r>
      <w:r>
        <w:rPr>
          <w:rStyle w:val="11"/>
          <w:rFonts w:hint="eastAsia" w:ascii="仿宋_GB2312" w:hAnsi="宋体" w:eastAsia="仿宋_GB2312"/>
          <w:sz w:val="32"/>
          <w:szCs w:val="32"/>
        </w:rPr>
        <w:t>二、机构设置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_Toc536437203 \h </w:instrText>
      </w:r>
      <w:r>
        <w:rPr>
          <w:rFonts w:hint="eastAsia" w:ascii="仿宋_GB2312" w:eastAsia="仿宋_GB2312"/>
          <w:sz w:val="32"/>
          <w:szCs w:val="32"/>
        </w:rPr>
        <w:fldChar w:fldCharType="separate"/>
      </w:r>
      <w:r>
        <w:rPr>
          <w:rFonts w:hint="eastAsia" w:ascii="仿宋_GB2312" w:eastAsia="仿宋_GB2312"/>
          <w:sz w:val="32"/>
          <w:szCs w:val="32"/>
        </w:rPr>
        <w:t>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296"/>
        </w:tabs>
        <w:rPr>
          <w:rFonts w:ascii="仿宋_GB2312" w:eastAsia="仿宋_GB2312" w:hAnsiTheme="minorHAnsi" w:cstheme="minorBidi"/>
          <w:sz w:val="32"/>
          <w:szCs w:val="32"/>
        </w:rPr>
      </w:pPr>
      <w:r>
        <w:fldChar w:fldCharType="begin"/>
      </w:r>
      <w:r>
        <w:instrText xml:space="preserve"> HYPERLINK \l "_Toc536437204" </w:instrText>
      </w:r>
      <w:r>
        <w:fldChar w:fldCharType="separate"/>
      </w:r>
      <w:r>
        <w:rPr>
          <w:rStyle w:val="11"/>
          <w:rFonts w:hint="eastAsia" w:ascii="仿宋_GB2312" w:hAnsi="宋体" w:eastAsia="仿宋_GB2312"/>
          <w:sz w:val="32"/>
          <w:szCs w:val="32"/>
        </w:rPr>
        <w:t>第二部分 2020年部门决算表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_Toc536437204 \h </w:instrText>
      </w:r>
      <w:r>
        <w:rPr>
          <w:rFonts w:hint="eastAsia" w:ascii="仿宋_GB2312" w:eastAsia="仿宋_GB2312"/>
          <w:sz w:val="32"/>
          <w:szCs w:val="32"/>
        </w:rPr>
        <w:fldChar w:fldCharType="separate"/>
      </w:r>
      <w:r>
        <w:rPr>
          <w:rFonts w:hint="eastAsia" w:ascii="仿宋_GB2312" w:eastAsia="仿宋_GB2312"/>
          <w:sz w:val="32"/>
          <w:szCs w:val="32"/>
        </w:rPr>
        <w:t>2</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"_Toc536437205" </w:instrText>
      </w:r>
      <w:r>
        <w:fldChar w:fldCharType="separate"/>
      </w:r>
      <w:r>
        <w:rPr>
          <w:rStyle w:val="11"/>
          <w:rFonts w:hint="eastAsia" w:ascii="仿宋_GB2312" w:hAnsi="宋体" w:eastAsia="仿宋_GB2312"/>
          <w:sz w:val="32"/>
          <w:szCs w:val="32"/>
        </w:rPr>
        <w:t>一、收入支出决算总表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_Toc536437205 \h </w:instrText>
      </w:r>
      <w:r>
        <w:rPr>
          <w:rFonts w:hint="eastAsia" w:ascii="仿宋_GB2312" w:eastAsia="仿宋_GB2312"/>
          <w:sz w:val="32"/>
          <w:szCs w:val="32"/>
        </w:rPr>
        <w:fldChar w:fldCharType="separate"/>
      </w:r>
      <w:r>
        <w:rPr>
          <w:rFonts w:hint="eastAsia" w:ascii="仿宋_GB2312" w:eastAsia="仿宋_GB2312"/>
          <w:sz w:val="32"/>
          <w:szCs w:val="32"/>
        </w:rPr>
        <w:t>2</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"_Toc536437206" </w:instrText>
      </w:r>
      <w:r>
        <w:fldChar w:fldCharType="separate"/>
      </w:r>
      <w:r>
        <w:rPr>
          <w:rStyle w:val="11"/>
          <w:rFonts w:hint="eastAsia" w:ascii="仿宋_GB2312" w:hAnsi="宋体" w:eastAsia="仿宋_GB2312"/>
          <w:sz w:val="32"/>
          <w:szCs w:val="32"/>
        </w:rPr>
        <w:t>二、收入决算表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_Toc536437206 \h </w:instrText>
      </w:r>
      <w:r>
        <w:rPr>
          <w:rFonts w:hint="eastAsia" w:ascii="仿宋_GB2312" w:eastAsia="仿宋_GB2312"/>
          <w:sz w:val="32"/>
          <w:szCs w:val="32"/>
        </w:rPr>
        <w:fldChar w:fldCharType="separate"/>
      </w:r>
      <w:r>
        <w:rPr>
          <w:rFonts w:hint="eastAsia" w:ascii="仿宋_GB2312" w:eastAsia="仿宋_GB2312"/>
          <w:sz w:val="32"/>
          <w:szCs w:val="32"/>
        </w:rPr>
        <w:t>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"_Toc536437207" </w:instrText>
      </w:r>
      <w:r>
        <w:fldChar w:fldCharType="separate"/>
      </w:r>
      <w:r>
        <w:rPr>
          <w:rStyle w:val="11"/>
          <w:rFonts w:hint="eastAsia" w:ascii="仿宋_GB2312" w:hAnsi="宋体" w:eastAsia="仿宋_GB2312"/>
          <w:sz w:val="32"/>
          <w:szCs w:val="32"/>
        </w:rPr>
        <w:t>三、支出决算表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_Toc536437207 \h </w:instrText>
      </w:r>
      <w:r>
        <w:rPr>
          <w:rFonts w:hint="eastAsia" w:ascii="仿宋_GB2312" w:eastAsia="仿宋_GB2312"/>
          <w:sz w:val="32"/>
          <w:szCs w:val="32"/>
        </w:rPr>
        <w:fldChar w:fldCharType="separate"/>
      </w:r>
      <w:r>
        <w:rPr>
          <w:rFonts w:hint="eastAsia" w:ascii="仿宋_GB2312" w:eastAsia="仿宋_GB2312"/>
          <w:sz w:val="32"/>
          <w:szCs w:val="32"/>
        </w:rPr>
        <w:t>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"_Toc536437208" </w:instrText>
      </w:r>
      <w:r>
        <w:fldChar w:fldCharType="separate"/>
      </w:r>
      <w:r>
        <w:rPr>
          <w:rStyle w:val="11"/>
          <w:rFonts w:hint="eastAsia" w:ascii="仿宋_GB2312" w:hAnsi="宋体" w:eastAsia="仿宋_GB2312"/>
          <w:sz w:val="32"/>
          <w:szCs w:val="32"/>
        </w:rPr>
        <w:t>四、财政拨款收入支出决算总表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_Toc536437208 \h </w:instrText>
      </w:r>
      <w:r>
        <w:rPr>
          <w:rFonts w:hint="eastAsia" w:ascii="仿宋_GB2312" w:eastAsia="仿宋_GB2312"/>
          <w:sz w:val="32"/>
          <w:szCs w:val="32"/>
        </w:rPr>
        <w:fldChar w:fldCharType="separate"/>
      </w:r>
      <w:r>
        <w:rPr>
          <w:rFonts w:hint="eastAsia" w:ascii="仿宋_GB2312" w:eastAsia="仿宋_GB2312"/>
          <w:sz w:val="32"/>
          <w:szCs w:val="32"/>
        </w:rPr>
        <w:t>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"_Toc536437209" </w:instrText>
      </w:r>
      <w:r>
        <w:fldChar w:fldCharType="separate"/>
      </w:r>
      <w:r>
        <w:rPr>
          <w:rStyle w:val="11"/>
          <w:rFonts w:hint="eastAsia" w:ascii="仿宋_GB2312" w:hAnsi="宋体" w:eastAsia="仿宋_GB2312"/>
          <w:sz w:val="32"/>
          <w:szCs w:val="32"/>
        </w:rPr>
        <w:t>五、一般公共预算财政拨款支出决算表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_Toc536437209 \h </w:instrText>
      </w:r>
      <w:r>
        <w:rPr>
          <w:rFonts w:hint="eastAsia" w:ascii="仿宋_GB2312" w:eastAsia="仿宋_GB2312"/>
          <w:sz w:val="32"/>
          <w:szCs w:val="32"/>
        </w:rPr>
        <w:fldChar w:fldCharType="separate"/>
      </w:r>
      <w:r>
        <w:rPr>
          <w:rFonts w:hint="eastAsia" w:ascii="仿宋_GB2312" w:eastAsia="仿宋_GB2312"/>
          <w:sz w:val="32"/>
          <w:szCs w:val="32"/>
        </w:rPr>
        <w:t>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"_Toc536437210" </w:instrText>
      </w:r>
      <w:r>
        <w:fldChar w:fldCharType="separate"/>
      </w:r>
      <w:r>
        <w:rPr>
          <w:rStyle w:val="11"/>
          <w:rFonts w:hint="eastAsia" w:ascii="仿宋_GB2312" w:hAnsi="宋体" w:eastAsia="仿宋_GB2312"/>
          <w:sz w:val="32"/>
          <w:szCs w:val="32"/>
        </w:rPr>
        <w:t>六、一般公共预算财政拨款基本支出决算表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_Toc536437210 \h </w:instrText>
      </w:r>
      <w:r>
        <w:rPr>
          <w:rFonts w:hint="eastAsia" w:ascii="仿宋_GB2312" w:eastAsia="仿宋_GB2312"/>
          <w:sz w:val="32"/>
          <w:szCs w:val="32"/>
        </w:rPr>
        <w:fldChar w:fldCharType="separate"/>
      </w:r>
      <w:r>
        <w:rPr>
          <w:rFonts w:hint="eastAsia" w:ascii="仿宋_GB2312" w:eastAsia="仿宋_GB2312"/>
          <w:sz w:val="32"/>
          <w:szCs w:val="32"/>
        </w:rPr>
        <w:t>9</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"_Toc536437211" </w:instrText>
      </w:r>
      <w:r>
        <w:fldChar w:fldCharType="separate"/>
      </w:r>
      <w:r>
        <w:rPr>
          <w:rStyle w:val="11"/>
          <w:rFonts w:hint="eastAsia" w:ascii="仿宋_GB2312" w:hAnsi="宋体" w:eastAsia="仿宋_GB2312"/>
          <w:sz w:val="32"/>
          <w:szCs w:val="32"/>
        </w:rPr>
        <w:t>七、一般公共预算财政拨款“三公”经费支出决算表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_Toc536437211 \h </w:instrText>
      </w:r>
      <w:r>
        <w:rPr>
          <w:rFonts w:hint="eastAsia" w:ascii="仿宋_GB2312" w:eastAsia="仿宋_GB2312"/>
          <w:sz w:val="32"/>
          <w:szCs w:val="32"/>
        </w:rPr>
        <w:fldChar w:fldCharType="separate"/>
      </w:r>
      <w:r>
        <w:rPr>
          <w:rFonts w:hint="eastAsia" w:ascii="仿宋_GB2312" w:eastAsia="仿宋_GB2312"/>
          <w:sz w:val="32"/>
          <w:szCs w:val="32"/>
        </w:rPr>
        <w:t>10</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"_Toc536437212" </w:instrText>
      </w:r>
      <w:r>
        <w:fldChar w:fldCharType="separate"/>
      </w:r>
      <w:r>
        <w:rPr>
          <w:rStyle w:val="11"/>
          <w:rFonts w:hint="eastAsia" w:ascii="仿宋_GB2312" w:hAnsi="宋体" w:eastAsia="仿宋_GB2312"/>
          <w:sz w:val="32"/>
          <w:szCs w:val="32"/>
        </w:rPr>
        <w:t>八、政府性基金预算财政拨款收入支出决算表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_Toc536437212 \h </w:instrText>
      </w:r>
      <w:r>
        <w:rPr>
          <w:rFonts w:hint="eastAsia" w:ascii="仿宋_GB2312" w:eastAsia="仿宋_GB2312"/>
          <w:sz w:val="32"/>
          <w:szCs w:val="32"/>
        </w:rPr>
        <w:fldChar w:fldCharType="separate"/>
      </w:r>
      <w:r>
        <w:rPr>
          <w:rFonts w:hint="eastAsia" w:ascii="仿宋_GB2312" w:eastAsia="仿宋_GB2312"/>
          <w:sz w:val="32"/>
          <w:szCs w:val="32"/>
        </w:rPr>
        <w:t>12</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296"/>
        </w:tabs>
        <w:rPr>
          <w:rFonts w:ascii="仿宋_GB2312" w:eastAsia="仿宋_GB2312" w:hAnsiTheme="minorHAnsi" w:cstheme="minorBidi"/>
          <w:sz w:val="32"/>
          <w:szCs w:val="32"/>
        </w:rPr>
      </w:pPr>
      <w:r>
        <w:fldChar w:fldCharType="begin"/>
      </w:r>
      <w:r>
        <w:instrText xml:space="preserve"> HYPERLINK \l "_Toc536437213" </w:instrText>
      </w:r>
      <w:r>
        <w:fldChar w:fldCharType="separate"/>
      </w:r>
      <w:r>
        <w:rPr>
          <w:rStyle w:val="11"/>
          <w:rFonts w:hint="eastAsia" w:ascii="仿宋_GB2312" w:hAnsi="宋体" w:eastAsia="仿宋_GB2312"/>
          <w:sz w:val="32"/>
          <w:szCs w:val="32"/>
        </w:rPr>
        <w:t>第三部分 2020年度部门决算情况说明</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_Toc536437213 \h </w:instrText>
      </w:r>
      <w:r>
        <w:rPr>
          <w:rFonts w:hint="eastAsia" w:ascii="仿宋_GB2312" w:eastAsia="仿宋_GB2312"/>
          <w:sz w:val="32"/>
          <w:szCs w:val="32"/>
        </w:rPr>
        <w:fldChar w:fldCharType="separate"/>
      </w:r>
      <w:r>
        <w:rPr>
          <w:rFonts w:hint="eastAsia" w:ascii="仿宋_GB2312" w:eastAsia="仿宋_GB2312"/>
          <w:sz w:val="32"/>
          <w:szCs w:val="32"/>
        </w:rPr>
        <w:t>13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296"/>
        </w:tabs>
        <w:rPr>
          <w:rFonts w:ascii="仿宋_GB2312" w:eastAsia="仿宋_GB2312" w:hAnsiTheme="minorHAnsi" w:cstheme="minorBidi"/>
          <w:sz w:val="32"/>
          <w:szCs w:val="32"/>
        </w:rPr>
      </w:pPr>
      <w:r>
        <w:fldChar w:fldCharType="begin"/>
      </w:r>
      <w:r>
        <w:instrText xml:space="preserve"> HYPERLINK \l "_Toc536437214" </w:instrText>
      </w:r>
      <w:r>
        <w:fldChar w:fldCharType="separate"/>
      </w:r>
      <w:r>
        <w:rPr>
          <w:rStyle w:val="11"/>
          <w:rFonts w:hint="eastAsia" w:ascii="仿宋_GB2312" w:hAnsi="宋体" w:eastAsia="仿宋_GB2312"/>
          <w:sz w:val="32"/>
          <w:szCs w:val="32"/>
        </w:rPr>
        <w:t>第四部分 名词解释</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_Toc536437214 \h </w:instrText>
      </w:r>
      <w:r>
        <w:rPr>
          <w:rFonts w:hint="eastAsia" w:ascii="仿宋_GB2312" w:eastAsia="仿宋_GB2312"/>
          <w:sz w:val="32"/>
          <w:szCs w:val="32"/>
        </w:rPr>
        <w:fldChar w:fldCharType="separate"/>
      </w:r>
      <w:r>
        <w:rPr>
          <w:rFonts w:hint="eastAsia" w:ascii="仿宋_GB2312" w:eastAsia="仿宋_GB2312"/>
          <w:sz w:val="32"/>
          <w:szCs w:val="32"/>
        </w:rPr>
        <w:t>18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"_Toc536437215" </w:instrText>
      </w:r>
      <w:r>
        <w:fldChar w:fldCharType="separate"/>
      </w:r>
      <w:r>
        <w:rPr>
          <w:rStyle w:val="11"/>
          <w:rFonts w:hint="eastAsia" w:ascii="仿宋_GB2312" w:hAnsi="宋体" w:eastAsia="仿宋_GB2312"/>
          <w:sz w:val="32"/>
          <w:szCs w:val="32"/>
        </w:rPr>
        <w:t>一、收入科目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_Toc536437215 \h </w:instrText>
      </w:r>
      <w:r>
        <w:rPr>
          <w:rFonts w:hint="eastAsia" w:ascii="仿宋_GB2312" w:eastAsia="仿宋_GB2312"/>
          <w:sz w:val="32"/>
          <w:szCs w:val="32"/>
        </w:rPr>
        <w:fldChar w:fldCharType="separate"/>
      </w:r>
      <w:r>
        <w:rPr>
          <w:rFonts w:hint="eastAsia" w:ascii="仿宋_GB2312" w:eastAsia="仿宋_GB2312"/>
          <w:sz w:val="32"/>
          <w:szCs w:val="32"/>
        </w:rPr>
        <w:t>18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296"/>
        </w:tabs>
        <w:rPr>
          <w:rFonts w:ascii="仿宋_GB2312" w:eastAsia="仿宋_GB2312" w:hAnsiTheme="minorHAnsi" w:cstheme="minorBidi"/>
          <w:sz w:val="32"/>
          <w:szCs w:val="32"/>
        </w:rPr>
      </w:pPr>
      <w:r>
        <w:fldChar w:fldCharType="begin"/>
      </w:r>
      <w:r>
        <w:instrText xml:space="preserve"> HYPERLINK \l "_Toc536437216" </w:instrText>
      </w:r>
      <w:r>
        <w:fldChar w:fldCharType="separate"/>
      </w:r>
      <w:r>
        <w:rPr>
          <w:rStyle w:val="11"/>
          <w:rFonts w:hint="eastAsia" w:ascii="仿宋_GB2312" w:hAnsi="宋体" w:eastAsia="仿宋_GB2312"/>
          <w:sz w:val="32"/>
          <w:szCs w:val="32"/>
        </w:rPr>
        <w:t>二、支出科目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_Toc536437216 \h </w:instrText>
      </w:r>
      <w:r>
        <w:rPr>
          <w:rFonts w:hint="eastAsia" w:ascii="仿宋_GB2312" w:eastAsia="仿宋_GB2312"/>
          <w:sz w:val="32"/>
          <w:szCs w:val="32"/>
        </w:rPr>
        <w:fldChar w:fldCharType="separate"/>
      </w:r>
      <w:r>
        <w:rPr>
          <w:rFonts w:hint="eastAsia" w:ascii="仿宋_GB2312" w:eastAsia="仿宋_GB2312"/>
          <w:sz w:val="32"/>
          <w:szCs w:val="32"/>
        </w:rPr>
        <w:t>19</w:t>
      </w:r>
      <w:r>
        <w:rPr>
          <w:rFonts w:hint="eastAsia" w:ascii="仿宋_GB2312" w:eastAsia="仿宋_GB2312"/>
          <w:sz w:val="32"/>
          <w:szCs w:val="32"/>
        </w:rPr>
        <w:fldChar w:fldCharType="end"/>
      </w:r>
      <w:r>
        <w:rPr>
          <w:rFonts w:hint="eastAsia" w:ascii="仿宋_GB2312" w:eastAsia="仿宋_GB2312"/>
          <w:sz w:val="32"/>
          <w:szCs w:val="32"/>
        </w:rPr>
        <w:fldChar w:fldCharType="end"/>
      </w:r>
    </w:p>
    <w:p>
      <w:pPr>
        <w:rPr>
          <w:rFonts w:ascii="宋体" w:hAnsi="宋体"/>
          <w:sz w:val="32"/>
        </w:rPr>
        <w:sectPr>
          <w:pgSz w:w="11906" w:h="16838"/>
          <w:pgMar w:top="1440" w:right="1800" w:bottom="1440" w:left="1800" w:header="851" w:footer="992" w:gutter="0"/>
          <w:pgNumType w:start="1"/>
          <w:cols w:space="425" w:num="1"/>
          <w:docGrid w:type="lines" w:linePitch="312" w:charSpace="0"/>
        </w:sectPr>
      </w:pPr>
      <w:r>
        <w:rPr>
          <w:rFonts w:hint="eastAsia" w:ascii="仿宋_GB2312" w:hAnsi="宋体" w:eastAsia="仿宋_GB2312"/>
          <w:sz w:val="32"/>
          <w:szCs w:val="32"/>
        </w:rPr>
        <w:fldChar w:fldCharType="end"/>
      </w:r>
    </w:p>
    <w:p>
      <w:pPr>
        <w:pStyle w:val="2"/>
        <w:rPr>
          <w:sz w:val="36"/>
          <w:szCs w:val="36"/>
        </w:rPr>
      </w:pPr>
      <w:bookmarkStart w:id="0" w:name="_Toc536437201"/>
      <w:r>
        <w:rPr>
          <w:rFonts w:hint="eastAsia"/>
          <w:sz w:val="36"/>
          <w:szCs w:val="36"/>
        </w:rPr>
        <w:t>第一部分 单位概况</w:t>
      </w:r>
      <w:bookmarkEnd w:id="0"/>
    </w:p>
    <w:p>
      <w:pPr>
        <w:pStyle w:val="3"/>
        <w:ind w:firstLine="643" w:firstLineChars="200"/>
        <w:jc w:val="left"/>
        <w:rPr>
          <w:rFonts w:ascii="仿宋_GB2312" w:hAnsi="宋体" w:eastAsia="仿宋_GB2312"/>
          <w:b/>
        </w:rPr>
      </w:pPr>
      <w:bookmarkStart w:id="1" w:name="_Toc536437202"/>
      <w:r>
        <w:rPr>
          <w:rFonts w:hint="eastAsia" w:ascii="仿宋_GB2312" w:hAnsi="宋体" w:eastAsia="仿宋_GB2312"/>
          <w:b/>
        </w:rPr>
        <w:t>一、主要职能</w:t>
      </w:r>
      <w:bookmarkEnd w:id="1"/>
    </w:p>
    <w:p>
      <w:pPr>
        <w:ind w:firstLine="640" w:firstLineChars="200"/>
        <w:rPr>
          <w:rFonts w:ascii="仿宋_GB2312" w:eastAsia="仿宋_GB2312"/>
          <w:sz w:val="32"/>
          <w:szCs w:val="32"/>
        </w:rPr>
      </w:pPr>
      <w:r>
        <w:rPr>
          <w:rFonts w:hint="eastAsia" w:ascii="仿宋_GB2312" w:eastAsia="仿宋_GB2312"/>
          <w:sz w:val="32"/>
          <w:szCs w:val="32"/>
        </w:rPr>
        <w:t>根据《中华人民共和国海事局关于浙江海事局有关机构主要职责机构设置和人员编制规定的通知》（海人教〔2013〕295号）规定，浙江海事局后勤管理中心主要职能如下：</w:t>
      </w:r>
    </w:p>
    <w:p>
      <w:pPr>
        <w:widowControl/>
        <w:jc w:val="left"/>
        <w:rPr>
          <w:rFonts w:ascii="宋体" w:hAnsi="宋体"/>
          <w:b/>
          <w:sz w:val="36"/>
          <w:szCs w:val="36"/>
        </w:rPr>
      </w:pPr>
      <w:r>
        <w:rPr>
          <w:rFonts w:hint="eastAsia" w:ascii="宋体" w:hAnsi="宋体"/>
          <w:b/>
          <w:sz w:val="36"/>
          <w:szCs w:val="36"/>
        </w:rPr>
        <w:t xml:space="preserve">    </w:t>
      </w:r>
      <w:r>
        <w:rPr>
          <w:rFonts w:hint="eastAsia" w:ascii="仿宋_GB2312" w:eastAsia="仿宋_GB2312"/>
          <w:sz w:val="32"/>
          <w:szCs w:val="32"/>
        </w:rPr>
        <w:t>负责浙江海事局所属机构房产物业管理和设备、设施维修维护工作；负责车辆的运行管理工作；负责浙江海事局所属机构物资采购、保管及其他后勤服务工作；承担浙江海事局所属机构编制外用工的使用管理工作；负责后勤管理中心内部综合管理工作。</w:t>
      </w:r>
    </w:p>
    <w:p>
      <w:pPr>
        <w:pStyle w:val="3"/>
        <w:ind w:firstLine="643" w:firstLineChars="200"/>
        <w:jc w:val="left"/>
        <w:rPr>
          <w:rFonts w:ascii="仿宋_GB2312" w:hAnsi="宋体" w:eastAsia="仿宋_GB2312"/>
          <w:b/>
        </w:rPr>
      </w:pPr>
      <w:bookmarkStart w:id="2" w:name="_Toc536437203"/>
      <w:r>
        <w:rPr>
          <w:rFonts w:hint="eastAsia" w:ascii="仿宋_GB2312" w:hAnsi="宋体" w:eastAsia="仿宋_GB2312"/>
          <w:b/>
        </w:rPr>
        <w:t>二、机构设置</w:t>
      </w:r>
      <w:bookmarkEnd w:id="2"/>
    </w:p>
    <w:p>
      <w:pPr>
        <w:ind w:firstLine="640" w:firstLineChars="200"/>
        <w:rPr>
          <w:rFonts w:ascii="仿宋_GB2312" w:eastAsia="仿宋_GB2312"/>
          <w:sz w:val="32"/>
          <w:szCs w:val="32"/>
        </w:rPr>
      </w:pPr>
      <w:r>
        <w:rPr>
          <w:rFonts w:hint="eastAsia" w:ascii="仿宋_GB2312" w:eastAsia="仿宋_GB2312"/>
          <w:sz w:val="32"/>
          <w:szCs w:val="32"/>
        </w:rPr>
        <w:t>2020年度决算编制范围包括浙江海事局后勤管理中心一家四级预算单位。</w:t>
      </w:r>
    </w:p>
    <w:p>
      <w:pPr>
        <w:sectPr>
          <w:footerReference r:id="rId3" w:type="default"/>
          <w:pgSz w:w="11906" w:h="16838"/>
          <w:pgMar w:top="1440" w:right="1800" w:bottom="1440" w:left="1800" w:header="851" w:footer="992" w:gutter="0"/>
          <w:pgNumType w:start="1"/>
          <w:cols w:space="425" w:num="1"/>
          <w:docGrid w:type="lines" w:linePitch="312" w:charSpace="0"/>
        </w:sectPr>
      </w:pPr>
    </w:p>
    <w:p>
      <w:pPr>
        <w:pStyle w:val="2"/>
        <w:rPr>
          <w:rFonts w:ascii="宋体" w:hAnsi="宋体"/>
          <w:sz w:val="36"/>
          <w:szCs w:val="36"/>
        </w:rPr>
      </w:pPr>
      <w:bookmarkStart w:id="3" w:name="_Toc536437204"/>
      <w:r>
        <w:rPr>
          <w:rFonts w:hint="eastAsia" w:ascii="宋体" w:hAnsi="宋体"/>
          <w:sz w:val="36"/>
          <w:szCs w:val="36"/>
        </w:rPr>
        <w:t>第二部分 2020年部门决算表</w:t>
      </w:r>
      <w:bookmarkEnd w:id="3"/>
    </w:p>
    <w:p>
      <w:pPr>
        <w:pStyle w:val="3"/>
        <w:ind w:firstLine="643" w:firstLineChars="200"/>
        <w:rPr>
          <w:rFonts w:ascii="仿宋_GB2312" w:hAnsi="宋体" w:eastAsia="仿宋_GB2312"/>
          <w:b/>
        </w:rPr>
      </w:pPr>
      <w:bookmarkStart w:id="4" w:name="_Toc536437205"/>
      <w:r>
        <w:rPr>
          <w:rFonts w:hint="eastAsia" w:ascii="仿宋_GB2312" w:hAnsi="宋体" w:eastAsia="仿宋_GB2312"/>
          <w:b/>
        </w:rPr>
        <w:t>一、收入支出决算总表</w:t>
      </w:r>
      <w:bookmarkEnd w:id="4"/>
    </w:p>
    <w:p>
      <w:pPr>
        <w:jc w:val="right"/>
        <w:rPr>
          <w:rFonts w:ascii="仿宋_GB2312" w:eastAsia="仿宋_GB2312"/>
          <w:sz w:val="24"/>
          <w:szCs w:val="32"/>
        </w:rPr>
      </w:pPr>
      <w:r>
        <w:rPr>
          <w:rFonts w:hint="eastAsia" w:ascii="仿宋_GB2312" w:eastAsia="仿宋_GB2312"/>
          <w:sz w:val="24"/>
          <w:szCs w:val="32"/>
        </w:rPr>
        <w:t xml:space="preserve"> 公开表01</w:t>
      </w:r>
    </w:p>
    <w:p>
      <w:pPr>
        <w:jc w:val="right"/>
        <w:rPr>
          <w:rFonts w:ascii="仿宋_GB2312" w:eastAsia="仿宋_GB2312"/>
          <w:sz w:val="22"/>
          <w:szCs w:val="32"/>
        </w:rPr>
      </w:pPr>
      <w:r>
        <w:rPr>
          <w:rFonts w:hint="eastAsia" w:ascii="仿宋_GB2312" w:eastAsia="仿宋_GB2312"/>
          <w:sz w:val="22"/>
          <w:szCs w:val="32"/>
        </w:rPr>
        <w:t>金额单位：万元</w:t>
      </w:r>
    </w:p>
    <w:tbl>
      <w:tblPr>
        <w:tblStyle w:val="9"/>
        <w:tblW w:w="14000" w:type="dxa"/>
        <w:tblInd w:w="0" w:type="dxa"/>
        <w:tblLayout w:type="fixed"/>
        <w:tblCellMar>
          <w:top w:w="0" w:type="dxa"/>
          <w:left w:w="108" w:type="dxa"/>
          <w:bottom w:w="0" w:type="dxa"/>
          <w:right w:w="108" w:type="dxa"/>
        </w:tblCellMar>
      </w:tblPr>
      <w:tblGrid>
        <w:gridCol w:w="4644"/>
        <w:gridCol w:w="993"/>
        <w:gridCol w:w="1701"/>
        <w:gridCol w:w="3685"/>
        <w:gridCol w:w="992"/>
        <w:gridCol w:w="1985"/>
      </w:tblGrid>
      <w:tr>
        <w:tblPrEx>
          <w:tblLayout w:type="fixed"/>
          <w:tblCellMar>
            <w:top w:w="0" w:type="dxa"/>
            <w:left w:w="108" w:type="dxa"/>
            <w:bottom w:w="0" w:type="dxa"/>
            <w:right w:w="108" w:type="dxa"/>
          </w:tblCellMar>
        </w:tblPrEx>
        <w:trPr>
          <w:trHeight w:val="270" w:hRule="atLeast"/>
        </w:trPr>
        <w:tc>
          <w:tcPr>
            <w:tcW w:w="7338"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收入</w:t>
            </w:r>
          </w:p>
        </w:tc>
        <w:tc>
          <w:tcPr>
            <w:tcW w:w="6662"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支出</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行次</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金额</w:t>
            </w:r>
          </w:p>
        </w:tc>
        <w:tc>
          <w:tcPr>
            <w:tcW w:w="36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行次</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金额</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栏次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36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栏次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一、财政拨款收入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332.50</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一、一般公共服务支出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二、事业收入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二、外交支出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21</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三、经营收入</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三、公共安全支出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22</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四、附属单位上缴收入</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四、教育支出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23</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五、其他收入</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201.71</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五、科学技术支出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24</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六、文化体育与传媒支出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25</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七、社会保障和就业支出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26</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340.08</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八、医疗卫生与计划生育支出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27</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9</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九、农林水支出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28</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10</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十、交通运输支出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29</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769.39</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11</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十一、资源勘探信息等支出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30</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12</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十二、住房保障支出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31</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96.84</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13</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十三、其他支出</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32</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14</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33</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本年收入合计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15</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534.21</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本年支出合计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34</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1206.31</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用事业基金弥补收支差额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16</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443.98</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结余分配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35</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年初结转和结余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17</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228.12</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年末结转和结余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36</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18</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685"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9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37</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46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总计</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19</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1206.31</w:t>
            </w:r>
          </w:p>
        </w:tc>
        <w:tc>
          <w:tcPr>
            <w:tcW w:w="36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总计</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38</w:t>
            </w:r>
          </w:p>
        </w:tc>
        <w:tc>
          <w:tcPr>
            <w:tcW w:w="1985"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1206.31</w:t>
            </w:r>
          </w:p>
        </w:tc>
      </w:tr>
    </w:tbl>
    <w:p>
      <w:pPr>
        <w:rPr>
          <w:rFonts w:ascii="仿宋_GB2312" w:eastAsia="仿宋_GB2312"/>
          <w:sz w:val="24"/>
          <w:szCs w:val="32"/>
        </w:rPr>
      </w:pPr>
      <w:r>
        <w:rPr>
          <w:rFonts w:hint="eastAsia" w:ascii="仿宋_GB2312" w:eastAsia="仿宋_GB2312"/>
          <w:sz w:val="24"/>
          <w:szCs w:val="32"/>
        </w:rPr>
        <w:t>注：本表反映部门本年度的总收支和年末结转结余情况。</w:t>
      </w:r>
    </w:p>
    <w:p>
      <w:pPr>
        <w:pStyle w:val="3"/>
        <w:jc w:val="both"/>
        <w:rPr>
          <w:rFonts w:ascii="仿宋_GB2312" w:hAnsi="宋体" w:eastAsia="仿宋_GB2312"/>
          <w:sz w:val="24"/>
        </w:rPr>
        <w:sectPr>
          <w:pgSz w:w="16838" w:h="11906" w:orient="landscape"/>
          <w:pgMar w:top="1800" w:right="1440" w:bottom="1800" w:left="1440" w:header="851" w:footer="992" w:gutter="0"/>
          <w:cols w:space="425" w:num="1"/>
          <w:docGrid w:type="lines" w:linePitch="312" w:charSpace="0"/>
        </w:sectPr>
      </w:pPr>
    </w:p>
    <w:p>
      <w:pPr>
        <w:pStyle w:val="3"/>
        <w:ind w:firstLine="643" w:firstLineChars="200"/>
        <w:rPr>
          <w:rFonts w:ascii="仿宋_GB2312" w:hAnsi="宋体" w:eastAsia="仿宋_GB2312"/>
          <w:b/>
        </w:rPr>
      </w:pPr>
      <w:bookmarkStart w:id="5" w:name="_Toc536437206"/>
      <w:r>
        <w:rPr>
          <w:rFonts w:hint="eastAsia" w:ascii="仿宋_GB2312" w:hAnsi="宋体" w:eastAsia="仿宋_GB2312"/>
          <w:b/>
        </w:rPr>
        <w:t>二、收入决算表</w:t>
      </w:r>
      <w:bookmarkEnd w:id="5"/>
    </w:p>
    <w:p>
      <w:pPr>
        <w:jc w:val="right"/>
        <w:rPr>
          <w:rFonts w:ascii="仿宋_GB2312" w:eastAsia="仿宋_GB2312"/>
          <w:sz w:val="24"/>
          <w:szCs w:val="32"/>
        </w:rPr>
      </w:pPr>
      <w:r>
        <w:rPr>
          <w:rFonts w:hint="eastAsia" w:ascii="仿宋_GB2312" w:eastAsia="仿宋_GB2312"/>
          <w:sz w:val="24"/>
          <w:szCs w:val="32"/>
        </w:rPr>
        <w:t>公开表02</w:t>
      </w:r>
    </w:p>
    <w:p>
      <w:pPr>
        <w:jc w:val="right"/>
      </w:pPr>
      <w:r>
        <w:rPr>
          <w:rFonts w:hint="eastAsia" w:ascii="仿宋_GB2312" w:eastAsia="仿宋_GB2312"/>
          <w:sz w:val="22"/>
          <w:szCs w:val="32"/>
        </w:rPr>
        <w:t>金额单位：万元</w:t>
      </w:r>
    </w:p>
    <w:tbl>
      <w:tblPr>
        <w:tblStyle w:val="9"/>
        <w:tblW w:w="14000" w:type="dxa"/>
        <w:tblInd w:w="0" w:type="dxa"/>
        <w:tblLayout w:type="fixed"/>
        <w:tblCellMar>
          <w:top w:w="0" w:type="dxa"/>
          <w:left w:w="108" w:type="dxa"/>
          <w:bottom w:w="0" w:type="dxa"/>
          <w:right w:w="108" w:type="dxa"/>
        </w:tblCellMar>
      </w:tblPr>
      <w:tblGrid>
        <w:gridCol w:w="1160"/>
        <w:gridCol w:w="2634"/>
        <w:gridCol w:w="1291"/>
        <w:gridCol w:w="1486"/>
        <w:gridCol w:w="1486"/>
        <w:gridCol w:w="1485"/>
        <w:gridCol w:w="1486"/>
        <w:gridCol w:w="1486"/>
        <w:gridCol w:w="1486"/>
      </w:tblGrid>
      <w:tr>
        <w:tblPrEx>
          <w:tblLayout w:type="fixed"/>
          <w:tblCellMar>
            <w:top w:w="0" w:type="dxa"/>
            <w:left w:w="108" w:type="dxa"/>
            <w:bottom w:w="0" w:type="dxa"/>
            <w:right w:w="108" w:type="dxa"/>
          </w:tblCellMar>
        </w:tblPrEx>
        <w:trPr>
          <w:trHeight w:val="270" w:hRule="atLeast"/>
        </w:trPr>
        <w:tc>
          <w:tcPr>
            <w:tcW w:w="379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129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本年收入</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48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财政拨款</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收入</w:t>
            </w:r>
          </w:p>
        </w:tc>
        <w:tc>
          <w:tcPr>
            <w:tcW w:w="148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上级补助</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收入</w:t>
            </w:r>
          </w:p>
        </w:tc>
        <w:tc>
          <w:tcPr>
            <w:tcW w:w="1485"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事业收入</w:t>
            </w:r>
          </w:p>
        </w:tc>
        <w:tc>
          <w:tcPr>
            <w:tcW w:w="148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经营收入</w:t>
            </w:r>
          </w:p>
        </w:tc>
        <w:tc>
          <w:tcPr>
            <w:tcW w:w="148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单位上缴</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收入</w:t>
            </w:r>
          </w:p>
        </w:tc>
        <w:tc>
          <w:tcPr>
            <w:tcW w:w="148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其他收入</w:t>
            </w:r>
          </w:p>
        </w:tc>
      </w:tr>
      <w:tr>
        <w:tblPrEx>
          <w:tblLayout w:type="fixed"/>
          <w:tblCellMar>
            <w:top w:w="0" w:type="dxa"/>
            <w:left w:w="108" w:type="dxa"/>
            <w:bottom w:w="0" w:type="dxa"/>
            <w:right w:w="108" w:type="dxa"/>
          </w:tblCellMar>
        </w:tblPrEx>
        <w:trPr>
          <w:trHeight w:val="630" w:hRule="atLeast"/>
        </w:trPr>
        <w:tc>
          <w:tcPr>
            <w:tcW w:w="1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功能分类科目编码</w:t>
            </w:r>
          </w:p>
        </w:tc>
        <w:tc>
          <w:tcPr>
            <w:tcW w:w="26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科目名称</w:t>
            </w:r>
          </w:p>
        </w:tc>
        <w:tc>
          <w:tcPr>
            <w:tcW w:w="129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48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48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48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48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48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48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379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栏次 </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w:t>
            </w:r>
          </w:p>
        </w:tc>
      </w:tr>
      <w:tr>
        <w:tblPrEx>
          <w:tblLayout w:type="fixed"/>
          <w:tblCellMar>
            <w:top w:w="0" w:type="dxa"/>
            <w:left w:w="108" w:type="dxa"/>
            <w:bottom w:w="0" w:type="dxa"/>
            <w:right w:w="108" w:type="dxa"/>
          </w:tblCellMar>
        </w:tblPrEx>
        <w:trPr>
          <w:trHeight w:val="270" w:hRule="atLeast"/>
        </w:trPr>
        <w:tc>
          <w:tcPr>
            <w:tcW w:w="379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合计 </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534.21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332.50</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201.71</w:t>
            </w:r>
          </w:p>
        </w:tc>
      </w:tr>
      <w:tr>
        <w:tblPrEx>
          <w:tblLayout w:type="fixed"/>
          <w:tblCellMar>
            <w:top w:w="0" w:type="dxa"/>
            <w:left w:w="108" w:type="dxa"/>
            <w:bottom w:w="0" w:type="dxa"/>
            <w:right w:w="108" w:type="dxa"/>
          </w:tblCellMar>
        </w:tblPrEx>
        <w:trPr>
          <w:trHeight w:val="270"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208</w:t>
            </w:r>
          </w:p>
        </w:tc>
        <w:tc>
          <w:tcPr>
            <w:tcW w:w="26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社会保障和就业支出</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10.00</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10.00</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20805</w:t>
            </w:r>
          </w:p>
        </w:tc>
        <w:tc>
          <w:tcPr>
            <w:tcW w:w="26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行政事业单位离退休</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10.00</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10.00</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2080502</w:t>
            </w:r>
          </w:p>
        </w:tc>
        <w:tc>
          <w:tcPr>
            <w:tcW w:w="26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事业单位离退休</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10.00</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10.00</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424"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214</w:t>
            </w:r>
          </w:p>
        </w:tc>
        <w:tc>
          <w:tcPr>
            <w:tcW w:w="26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交通运输支出</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437.21</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235.50</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201.71　</w:t>
            </w:r>
          </w:p>
        </w:tc>
      </w:tr>
      <w:tr>
        <w:tblPrEx>
          <w:tblLayout w:type="fixed"/>
          <w:tblCellMar>
            <w:top w:w="0" w:type="dxa"/>
            <w:left w:w="108" w:type="dxa"/>
            <w:bottom w:w="0" w:type="dxa"/>
            <w:right w:w="108" w:type="dxa"/>
          </w:tblCellMar>
        </w:tblPrEx>
        <w:trPr>
          <w:trHeight w:val="270"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21401</w:t>
            </w:r>
          </w:p>
        </w:tc>
        <w:tc>
          <w:tcPr>
            <w:tcW w:w="26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公路水路运输</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437.21</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235.50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201.71　</w:t>
            </w:r>
          </w:p>
        </w:tc>
      </w:tr>
      <w:tr>
        <w:tblPrEx>
          <w:tblLayout w:type="fixed"/>
          <w:tblCellMar>
            <w:top w:w="0" w:type="dxa"/>
            <w:left w:w="108" w:type="dxa"/>
            <w:bottom w:w="0" w:type="dxa"/>
            <w:right w:w="108" w:type="dxa"/>
          </w:tblCellMar>
        </w:tblPrEx>
        <w:trPr>
          <w:trHeight w:val="270"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2140199</w:t>
            </w:r>
          </w:p>
        </w:tc>
        <w:tc>
          <w:tcPr>
            <w:tcW w:w="26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其他公路水路运输支出</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437.21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235.50</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201.71</w:t>
            </w:r>
          </w:p>
        </w:tc>
      </w:tr>
      <w:tr>
        <w:tblPrEx>
          <w:tblLayout w:type="fixed"/>
          <w:tblCellMar>
            <w:top w:w="0" w:type="dxa"/>
            <w:left w:w="108" w:type="dxa"/>
            <w:bottom w:w="0" w:type="dxa"/>
            <w:right w:w="108" w:type="dxa"/>
          </w:tblCellMar>
        </w:tblPrEx>
        <w:trPr>
          <w:trHeight w:val="270"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221</w:t>
            </w:r>
          </w:p>
        </w:tc>
        <w:tc>
          <w:tcPr>
            <w:tcW w:w="26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住房保障支出</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87.00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87.00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w:t>
            </w:r>
          </w:p>
        </w:tc>
        <w:tc>
          <w:tcPr>
            <w:tcW w:w="26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住房改革支出</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87.00</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87.00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2210201</w:t>
            </w:r>
          </w:p>
        </w:tc>
        <w:tc>
          <w:tcPr>
            <w:tcW w:w="26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住房公积金</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40.00</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40.00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2210203</w:t>
            </w:r>
          </w:p>
        </w:tc>
        <w:tc>
          <w:tcPr>
            <w:tcW w:w="26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购房补贴</w:t>
            </w:r>
          </w:p>
        </w:tc>
        <w:tc>
          <w:tcPr>
            <w:tcW w:w="129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47.00</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47.00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jc w:val="left"/>
        <w:rPr>
          <w:rFonts w:ascii="仿宋_GB2312" w:eastAsia="仿宋_GB2312"/>
          <w:sz w:val="24"/>
          <w:szCs w:val="32"/>
        </w:rPr>
      </w:pPr>
      <w:r>
        <w:rPr>
          <w:rFonts w:hint="eastAsia" w:ascii="仿宋_GB2312" w:eastAsia="仿宋_GB2312"/>
          <w:sz w:val="24"/>
          <w:szCs w:val="32"/>
        </w:rPr>
        <w:t>注：本表反映部门本年度取得的各项收入情况。</w:t>
      </w:r>
    </w:p>
    <w:p>
      <w:pPr>
        <w:pStyle w:val="3"/>
        <w:ind w:firstLine="643" w:firstLineChars="200"/>
        <w:rPr>
          <w:rFonts w:ascii="仿宋_GB2312" w:hAnsi="宋体" w:eastAsia="仿宋_GB2312"/>
          <w:b/>
        </w:rPr>
      </w:pPr>
      <w:bookmarkStart w:id="6" w:name="_Toc536437207"/>
      <w:r>
        <w:rPr>
          <w:rFonts w:hint="eastAsia" w:ascii="仿宋_GB2312" w:hAnsi="宋体" w:eastAsia="仿宋_GB2312"/>
          <w:b/>
        </w:rPr>
        <w:t>三、支出决算表</w:t>
      </w:r>
      <w:bookmarkEnd w:id="6"/>
    </w:p>
    <w:p>
      <w:pPr>
        <w:jc w:val="right"/>
        <w:rPr>
          <w:rFonts w:ascii="仿宋_GB2312" w:eastAsia="仿宋_GB2312"/>
          <w:sz w:val="24"/>
          <w:szCs w:val="32"/>
        </w:rPr>
      </w:pPr>
      <w:r>
        <w:rPr>
          <w:rFonts w:hint="eastAsia" w:ascii="仿宋_GB2312" w:eastAsia="仿宋_GB2312"/>
          <w:sz w:val="24"/>
          <w:szCs w:val="32"/>
        </w:rPr>
        <w:t>公开表03</w:t>
      </w:r>
    </w:p>
    <w:p>
      <w:pPr>
        <w:jc w:val="right"/>
      </w:pPr>
      <w:r>
        <w:rPr>
          <w:rFonts w:hint="eastAsia" w:ascii="仿宋_GB2312" w:eastAsia="仿宋_GB2312"/>
          <w:sz w:val="22"/>
          <w:szCs w:val="32"/>
        </w:rPr>
        <w:t>金额单位：万元</w:t>
      </w:r>
    </w:p>
    <w:tbl>
      <w:tblPr>
        <w:tblStyle w:val="9"/>
        <w:tblW w:w="14034" w:type="dxa"/>
        <w:tblInd w:w="-34" w:type="dxa"/>
        <w:tblLayout w:type="fixed"/>
        <w:tblCellMar>
          <w:top w:w="0" w:type="dxa"/>
          <w:left w:w="108" w:type="dxa"/>
          <w:bottom w:w="0" w:type="dxa"/>
          <w:right w:w="108" w:type="dxa"/>
        </w:tblCellMar>
      </w:tblPr>
      <w:tblGrid>
        <w:gridCol w:w="1276"/>
        <w:gridCol w:w="2694"/>
        <w:gridCol w:w="1677"/>
        <w:gridCol w:w="1677"/>
        <w:gridCol w:w="1678"/>
        <w:gridCol w:w="1677"/>
        <w:gridCol w:w="1677"/>
        <w:gridCol w:w="1678"/>
      </w:tblGrid>
      <w:tr>
        <w:tblPrEx>
          <w:tblLayout w:type="fixed"/>
          <w:tblCellMar>
            <w:top w:w="0" w:type="dxa"/>
            <w:left w:w="108" w:type="dxa"/>
            <w:bottom w:w="0" w:type="dxa"/>
            <w:right w:w="108" w:type="dxa"/>
          </w:tblCellMar>
        </w:tblPrEx>
        <w:trPr>
          <w:trHeight w:val="270" w:hRule="atLeast"/>
        </w:trPr>
        <w:tc>
          <w:tcPr>
            <w:tcW w:w="397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167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本年支出合计</w:t>
            </w:r>
          </w:p>
        </w:tc>
        <w:tc>
          <w:tcPr>
            <w:tcW w:w="167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基本支出</w:t>
            </w:r>
          </w:p>
        </w:tc>
        <w:tc>
          <w:tcPr>
            <w:tcW w:w="1678"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项目支出</w:t>
            </w:r>
          </w:p>
        </w:tc>
        <w:tc>
          <w:tcPr>
            <w:tcW w:w="167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上缴上级支出</w:t>
            </w:r>
          </w:p>
        </w:tc>
        <w:tc>
          <w:tcPr>
            <w:tcW w:w="167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经营支出</w:t>
            </w:r>
          </w:p>
        </w:tc>
        <w:tc>
          <w:tcPr>
            <w:tcW w:w="1678"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对附属单位补助支出</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功能分类科目编码</w:t>
            </w:r>
          </w:p>
        </w:tc>
        <w:tc>
          <w:tcPr>
            <w:tcW w:w="269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科目名称</w:t>
            </w:r>
          </w:p>
        </w:tc>
        <w:tc>
          <w:tcPr>
            <w:tcW w:w="16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6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67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6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6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67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397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栏次 </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67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67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167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r>
      <w:tr>
        <w:tblPrEx>
          <w:tblLayout w:type="fixed"/>
          <w:tblCellMar>
            <w:top w:w="0" w:type="dxa"/>
            <w:left w:w="108" w:type="dxa"/>
            <w:bottom w:w="0" w:type="dxa"/>
            <w:right w:w="108" w:type="dxa"/>
          </w:tblCellMar>
        </w:tblPrEx>
        <w:trPr>
          <w:trHeight w:val="270" w:hRule="atLeast"/>
        </w:trPr>
        <w:tc>
          <w:tcPr>
            <w:tcW w:w="397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合计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1206.31</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1206.31</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208</w:t>
            </w:r>
          </w:p>
        </w:tc>
        <w:tc>
          <w:tcPr>
            <w:tcW w:w="269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社会保障和就业支出</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340.08</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340.08</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20805</w:t>
            </w:r>
          </w:p>
        </w:tc>
        <w:tc>
          <w:tcPr>
            <w:tcW w:w="269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行政事业单位离退休</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340.08</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340.08</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2080502</w:t>
            </w:r>
          </w:p>
        </w:tc>
        <w:tc>
          <w:tcPr>
            <w:tcW w:w="269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事业单位离退休</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340.08</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340.08</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214</w:t>
            </w:r>
          </w:p>
        </w:tc>
        <w:tc>
          <w:tcPr>
            <w:tcW w:w="269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交通运输支出</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769.39</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769.39</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21401</w:t>
            </w:r>
          </w:p>
        </w:tc>
        <w:tc>
          <w:tcPr>
            <w:tcW w:w="269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公路水路运输</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769.39</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769.39</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2140199</w:t>
            </w:r>
          </w:p>
        </w:tc>
        <w:tc>
          <w:tcPr>
            <w:tcW w:w="269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其他公路水路运输支出</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769.39</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769.39</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221</w:t>
            </w:r>
          </w:p>
        </w:tc>
        <w:tc>
          <w:tcPr>
            <w:tcW w:w="269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住房保障支出</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96.84</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96.84</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w:t>
            </w:r>
          </w:p>
        </w:tc>
        <w:tc>
          <w:tcPr>
            <w:tcW w:w="269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住房改革支出</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96.84</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96.84</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2210201</w:t>
            </w:r>
          </w:p>
        </w:tc>
        <w:tc>
          <w:tcPr>
            <w:tcW w:w="269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住房公积金</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40.06</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40.06</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2210203</w:t>
            </w:r>
          </w:p>
        </w:tc>
        <w:tc>
          <w:tcPr>
            <w:tcW w:w="269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购房补贴</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56.78</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56.78</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7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jc w:val="left"/>
        <w:rPr>
          <w:rFonts w:ascii="仿宋_GB2312" w:eastAsia="仿宋_GB2312"/>
          <w:sz w:val="24"/>
          <w:szCs w:val="32"/>
        </w:rPr>
      </w:pPr>
      <w:r>
        <w:rPr>
          <w:rFonts w:hint="eastAsia" w:ascii="仿宋_GB2312" w:eastAsia="仿宋_GB2312"/>
          <w:sz w:val="24"/>
          <w:szCs w:val="32"/>
        </w:rPr>
        <w:t>注：本表反映部门本年度各项支出情况。</w:t>
      </w:r>
    </w:p>
    <w:p>
      <w:pPr>
        <w:rPr>
          <w:rFonts w:ascii="仿宋_GB2312" w:eastAsia="仿宋_GB2312"/>
          <w:sz w:val="32"/>
          <w:szCs w:val="32"/>
        </w:rPr>
      </w:pPr>
    </w:p>
    <w:p>
      <w:pPr>
        <w:pStyle w:val="3"/>
        <w:ind w:firstLine="643" w:firstLineChars="200"/>
        <w:rPr>
          <w:rFonts w:ascii="仿宋_GB2312" w:hAnsi="宋体" w:eastAsia="仿宋_GB2312"/>
          <w:b/>
        </w:rPr>
      </w:pPr>
      <w:bookmarkStart w:id="7" w:name="_Toc536437208"/>
      <w:r>
        <w:rPr>
          <w:rFonts w:hint="eastAsia" w:ascii="仿宋_GB2312" w:hAnsi="宋体" w:eastAsia="仿宋_GB2312"/>
          <w:b/>
        </w:rPr>
        <w:t>四、财政拨款收入支出决算总表</w:t>
      </w:r>
      <w:bookmarkEnd w:id="7"/>
    </w:p>
    <w:p>
      <w:pPr>
        <w:jc w:val="right"/>
        <w:rPr>
          <w:rFonts w:ascii="仿宋_GB2312" w:eastAsia="仿宋_GB2312"/>
          <w:sz w:val="24"/>
          <w:szCs w:val="32"/>
        </w:rPr>
      </w:pPr>
      <w:r>
        <w:rPr>
          <w:rFonts w:hint="eastAsia" w:ascii="仿宋_GB2312" w:eastAsia="仿宋_GB2312"/>
          <w:sz w:val="24"/>
          <w:szCs w:val="32"/>
        </w:rPr>
        <w:t>公开表04</w:t>
      </w:r>
    </w:p>
    <w:p>
      <w:pPr>
        <w:jc w:val="right"/>
      </w:pPr>
      <w:r>
        <w:rPr>
          <w:rFonts w:hint="eastAsia" w:ascii="仿宋_GB2312" w:eastAsia="仿宋_GB2312"/>
          <w:sz w:val="22"/>
          <w:szCs w:val="32"/>
        </w:rPr>
        <w:t>金额单位：万元</w:t>
      </w:r>
    </w:p>
    <w:tbl>
      <w:tblPr>
        <w:tblStyle w:val="9"/>
        <w:tblW w:w="13907" w:type="dxa"/>
        <w:tblInd w:w="93" w:type="dxa"/>
        <w:tblLayout w:type="fixed"/>
        <w:tblCellMar>
          <w:top w:w="0" w:type="dxa"/>
          <w:left w:w="108" w:type="dxa"/>
          <w:bottom w:w="0" w:type="dxa"/>
          <w:right w:w="108" w:type="dxa"/>
        </w:tblCellMar>
      </w:tblPr>
      <w:tblGrid>
        <w:gridCol w:w="3257"/>
        <w:gridCol w:w="727"/>
        <w:gridCol w:w="1418"/>
        <w:gridCol w:w="3339"/>
        <w:gridCol w:w="772"/>
        <w:gridCol w:w="1417"/>
        <w:gridCol w:w="1417"/>
        <w:gridCol w:w="1560"/>
      </w:tblGrid>
      <w:tr>
        <w:tblPrEx>
          <w:tblLayout w:type="fixed"/>
          <w:tblCellMar>
            <w:top w:w="0" w:type="dxa"/>
            <w:left w:w="108" w:type="dxa"/>
            <w:bottom w:w="0" w:type="dxa"/>
            <w:right w:w="108" w:type="dxa"/>
          </w:tblCellMar>
        </w:tblPrEx>
        <w:trPr>
          <w:trHeight w:val="270" w:hRule="atLeast"/>
        </w:trPr>
        <w:tc>
          <w:tcPr>
            <w:tcW w:w="5402" w:type="dxa"/>
            <w:gridSpan w:val="3"/>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收   入</w:t>
            </w:r>
          </w:p>
        </w:tc>
        <w:tc>
          <w:tcPr>
            <w:tcW w:w="8505"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支   出</w:t>
            </w:r>
          </w:p>
        </w:tc>
      </w:tr>
      <w:tr>
        <w:tblPrEx>
          <w:tblLayout w:type="fixed"/>
          <w:tblCellMar>
            <w:top w:w="0" w:type="dxa"/>
            <w:left w:w="108" w:type="dxa"/>
            <w:bottom w:w="0" w:type="dxa"/>
            <w:right w:w="108" w:type="dxa"/>
          </w:tblCellMar>
        </w:tblPrEx>
        <w:trPr>
          <w:trHeight w:val="645" w:hRule="atLeast"/>
        </w:trPr>
        <w:tc>
          <w:tcPr>
            <w:tcW w:w="3257" w:type="dxa"/>
            <w:tcBorders>
              <w:top w:val="nil"/>
              <w:left w:val="single" w:color="auto" w:sz="4" w:space="0"/>
              <w:bottom w:val="single" w:color="auto" w:sz="4" w:space="0"/>
              <w:right w:val="nil"/>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行次</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金额</w:t>
            </w:r>
          </w:p>
        </w:tc>
        <w:tc>
          <w:tcPr>
            <w:tcW w:w="333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772"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行次</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一般公共预算财政拨款</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政府性基金预算财政拨款</w:t>
            </w:r>
          </w:p>
        </w:tc>
      </w:tr>
      <w:tr>
        <w:tblPrEx>
          <w:tblLayout w:type="fixed"/>
          <w:tblCellMar>
            <w:top w:w="0" w:type="dxa"/>
            <w:left w:w="108" w:type="dxa"/>
            <w:bottom w:w="0" w:type="dxa"/>
            <w:right w:w="108" w:type="dxa"/>
          </w:tblCellMar>
        </w:tblPrEx>
        <w:trPr>
          <w:trHeight w:val="270" w:hRule="atLeast"/>
        </w:trPr>
        <w:tc>
          <w:tcPr>
            <w:tcW w:w="3257" w:type="dxa"/>
            <w:tcBorders>
              <w:top w:val="nil"/>
              <w:left w:val="single" w:color="auto" w:sz="4" w:space="0"/>
              <w:bottom w:val="single" w:color="auto" w:sz="4" w:space="0"/>
              <w:right w:val="nil"/>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栏次</w:t>
            </w:r>
          </w:p>
        </w:tc>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栏次</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nil"/>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一、一般公共预算</w:t>
            </w:r>
            <w:r>
              <w:rPr>
                <w:rFonts w:hint="eastAsia" w:ascii="仿宋_GB2312" w:hAnsi="宋体" w:eastAsia="仿宋_GB2312" w:cs="宋体"/>
                <w:color w:val="000000"/>
                <w:kern w:val="0"/>
                <w:sz w:val="24"/>
                <w:lang w:eastAsia="zh-CN"/>
              </w:rPr>
              <w:t>财</w:t>
            </w:r>
            <w:r>
              <w:rPr>
                <w:rFonts w:hint="eastAsia" w:ascii="仿宋_GB2312" w:hAnsi="宋体" w:eastAsia="仿宋_GB2312" w:cs="宋体"/>
                <w:color w:val="000000"/>
                <w:kern w:val="0"/>
                <w:sz w:val="24"/>
              </w:rPr>
              <w:t>政拨款</w:t>
            </w:r>
          </w:p>
        </w:tc>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332.50</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一、一般公共服务支出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nil"/>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二、政府性基金预算</w:t>
            </w:r>
            <w:r>
              <w:rPr>
                <w:rFonts w:hint="eastAsia" w:ascii="仿宋_GB2312" w:hAnsi="宋体" w:eastAsia="仿宋_GB2312" w:cs="宋体"/>
                <w:color w:val="000000"/>
                <w:kern w:val="0"/>
                <w:sz w:val="24"/>
                <w:lang w:eastAsia="zh-CN"/>
              </w:rPr>
              <w:t>财</w:t>
            </w:r>
            <w:r>
              <w:rPr>
                <w:rFonts w:hint="eastAsia" w:ascii="仿宋_GB2312" w:hAnsi="宋体" w:eastAsia="仿宋_GB2312" w:cs="宋体"/>
                <w:color w:val="000000"/>
                <w:kern w:val="0"/>
                <w:sz w:val="24"/>
              </w:rPr>
              <w:t xml:space="preserve">政拨款 </w:t>
            </w:r>
          </w:p>
        </w:tc>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二、外交支出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21</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nil"/>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三、公共安全支出</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22</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nil"/>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四、教育支出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23</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nil"/>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五、科学技术支出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24</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nil"/>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六、文化体育与传媒支出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25</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nil"/>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七、社会保障和就业支出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26</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161.92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161.92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nil"/>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八、医疗卫生与计划生育支出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27</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single" w:color="auto" w:sz="4" w:space="0"/>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9</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九、农林水支出</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28</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single" w:color="auto" w:sz="4" w:space="0"/>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10</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十、交通运输支出</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29</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307.28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307.28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single" w:color="auto" w:sz="4" w:space="0"/>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11</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十一、资源勘探信息等支出</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30</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single" w:color="auto" w:sz="4" w:space="0"/>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12</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十二、住房保障支出</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31</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91.42</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91.42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single" w:color="auto" w:sz="4" w:space="0"/>
              <w:left w:val="single" w:color="auto" w:sz="4" w:space="0"/>
              <w:bottom w:val="single" w:color="auto" w:sz="4" w:space="0"/>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7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13</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32</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xml:space="preserve">本年收入合计 </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14</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xml:space="preserve">本年支出合计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33</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560.62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560.62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年初</w:t>
            </w:r>
            <w:r>
              <w:rPr>
                <w:rFonts w:hint="eastAsia" w:ascii="仿宋_GB2312" w:hAnsi="宋体" w:eastAsia="仿宋_GB2312" w:cs="宋体"/>
                <w:color w:val="000000"/>
                <w:kern w:val="0"/>
                <w:sz w:val="24"/>
                <w:lang w:eastAsia="zh-CN"/>
              </w:rPr>
              <w:t>财</w:t>
            </w:r>
            <w:r>
              <w:rPr>
                <w:rFonts w:hint="eastAsia" w:ascii="仿宋_GB2312" w:hAnsi="宋体" w:eastAsia="仿宋_GB2312" w:cs="宋体"/>
                <w:color w:val="000000"/>
                <w:kern w:val="0"/>
                <w:sz w:val="24"/>
              </w:rPr>
              <w:t>政拨款结转和结余</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15</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228.12</w:t>
            </w:r>
          </w:p>
        </w:tc>
        <w:tc>
          <w:tcPr>
            <w:tcW w:w="333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年末财政拨款结转和结余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34</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一般公共预算</w:t>
            </w:r>
            <w:r>
              <w:rPr>
                <w:rFonts w:hint="eastAsia" w:ascii="仿宋_GB2312" w:hAnsi="宋体" w:eastAsia="仿宋_GB2312" w:cs="宋体"/>
                <w:color w:val="000000"/>
                <w:kern w:val="0"/>
                <w:sz w:val="24"/>
                <w:lang w:eastAsia="zh-CN"/>
              </w:rPr>
              <w:t>财</w:t>
            </w:r>
            <w:r>
              <w:rPr>
                <w:rFonts w:hint="eastAsia" w:ascii="仿宋_GB2312" w:hAnsi="宋体" w:eastAsia="仿宋_GB2312" w:cs="宋体"/>
                <w:color w:val="000000"/>
                <w:kern w:val="0"/>
                <w:sz w:val="24"/>
              </w:rPr>
              <w:t>政拨款</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16</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228.12</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35</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政府性基金预算</w:t>
            </w:r>
            <w:r>
              <w:rPr>
                <w:rFonts w:hint="eastAsia" w:ascii="仿宋_GB2312" w:hAnsi="宋体" w:eastAsia="仿宋_GB2312" w:cs="宋体"/>
                <w:color w:val="000000"/>
                <w:kern w:val="0"/>
                <w:sz w:val="24"/>
                <w:lang w:eastAsia="zh-CN"/>
              </w:rPr>
              <w:t>财</w:t>
            </w:r>
            <w:r>
              <w:rPr>
                <w:rFonts w:hint="eastAsia" w:ascii="仿宋_GB2312" w:hAnsi="宋体" w:eastAsia="仿宋_GB2312" w:cs="宋体"/>
                <w:color w:val="000000"/>
                <w:kern w:val="0"/>
                <w:sz w:val="24"/>
              </w:rPr>
              <w:t>政拨款</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17</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36</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18</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339"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37</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325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总计</w:t>
            </w:r>
          </w:p>
        </w:tc>
        <w:tc>
          <w:tcPr>
            <w:tcW w:w="72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19</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560.62</w:t>
            </w:r>
          </w:p>
        </w:tc>
        <w:tc>
          <w:tcPr>
            <w:tcW w:w="3339"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总计</w:t>
            </w:r>
          </w:p>
        </w:tc>
        <w:tc>
          <w:tcPr>
            <w:tcW w:w="772"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38</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560.62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560.62</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rPr>
          <w:rFonts w:ascii="仿宋_GB2312" w:eastAsia="仿宋_GB2312"/>
          <w:sz w:val="24"/>
        </w:rPr>
      </w:pPr>
      <w:r>
        <w:rPr>
          <w:rFonts w:hint="eastAsia" w:ascii="仿宋_GB2312" w:eastAsia="仿宋_GB2312"/>
          <w:sz w:val="24"/>
        </w:rPr>
        <w:t>注：本表反映部门本年度一般公共预算财政拨款和政府性基金预算财政拨款的总收支和年末结转结余情况。</w:t>
      </w:r>
    </w:p>
    <w:p>
      <w:pPr>
        <w:rPr>
          <w:rFonts w:ascii="仿宋_GB2312" w:eastAsia="仿宋_GB2312"/>
          <w:sz w:val="32"/>
          <w:szCs w:val="32"/>
        </w:rPr>
      </w:pPr>
    </w:p>
    <w:p>
      <w:pPr>
        <w:pStyle w:val="3"/>
        <w:ind w:firstLine="643" w:firstLineChars="200"/>
        <w:rPr>
          <w:rFonts w:ascii="仿宋_GB2312" w:hAnsi="宋体" w:eastAsia="仿宋_GB2312"/>
          <w:b/>
        </w:rPr>
        <w:sectPr>
          <w:pgSz w:w="16838" w:h="11906" w:orient="landscape"/>
          <w:pgMar w:top="1800" w:right="1440" w:bottom="1800" w:left="1440" w:header="851" w:footer="992" w:gutter="0"/>
          <w:cols w:space="425" w:num="1"/>
          <w:docGrid w:type="lines" w:linePitch="312" w:charSpace="0"/>
        </w:sectPr>
      </w:pPr>
    </w:p>
    <w:p>
      <w:pPr>
        <w:pStyle w:val="3"/>
        <w:ind w:firstLine="643" w:firstLineChars="200"/>
        <w:rPr>
          <w:rFonts w:ascii="仿宋_GB2312" w:hAnsi="宋体" w:eastAsia="仿宋_GB2312"/>
          <w:b/>
        </w:rPr>
      </w:pPr>
      <w:bookmarkStart w:id="8" w:name="_Toc536437209"/>
      <w:r>
        <w:rPr>
          <w:rFonts w:hint="eastAsia" w:ascii="仿宋_GB2312" w:hAnsi="宋体" w:eastAsia="仿宋_GB2312"/>
          <w:b/>
        </w:rPr>
        <w:t>五、一般公共预算财政拨款支出决算表</w:t>
      </w:r>
      <w:bookmarkEnd w:id="8"/>
    </w:p>
    <w:p>
      <w:pPr>
        <w:jc w:val="right"/>
        <w:rPr>
          <w:rFonts w:ascii="仿宋_GB2312" w:eastAsia="仿宋_GB2312"/>
          <w:sz w:val="24"/>
          <w:szCs w:val="32"/>
        </w:rPr>
      </w:pPr>
      <w:r>
        <w:rPr>
          <w:rFonts w:hint="eastAsia" w:ascii="仿宋_GB2312" w:eastAsia="仿宋_GB2312"/>
          <w:sz w:val="24"/>
          <w:szCs w:val="32"/>
        </w:rPr>
        <w:t>公开表05</w:t>
      </w:r>
    </w:p>
    <w:p>
      <w:pPr>
        <w:jc w:val="right"/>
      </w:pPr>
      <w:r>
        <w:rPr>
          <w:rFonts w:hint="eastAsia" w:ascii="仿宋_GB2312" w:eastAsia="仿宋_GB2312"/>
          <w:sz w:val="22"/>
          <w:szCs w:val="32"/>
        </w:rPr>
        <w:t>金额单位：万元</w:t>
      </w:r>
    </w:p>
    <w:tbl>
      <w:tblPr>
        <w:tblStyle w:val="9"/>
        <w:tblW w:w="8840" w:type="dxa"/>
        <w:tblInd w:w="93" w:type="dxa"/>
        <w:tblLayout w:type="fixed"/>
        <w:tblCellMar>
          <w:top w:w="0" w:type="dxa"/>
          <w:left w:w="108" w:type="dxa"/>
          <w:bottom w:w="0" w:type="dxa"/>
          <w:right w:w="108" w:type="dxa"/>
        </w:tblCellMar>
      </w:tblPr>
      <w:tblGrid>
        <w:gridCol w:w="1260"/>
        <w:gridCol w:w="2724"/>
        <w:gridCol w:w="1536"/>
        <w:gridCol w:w="1660"/>
        <w:gridCol w:w="1660"/>
      </w:tblGrid>
      <w:tr>
        <w:tblPrEx>
          <w:tblLayout w:type="fixed"/>
          <w:tblCellMar>
            <w:top w:w="0" w:type="dxa"/>
            <w:left w:w="108" w:type="dxa"/>
            <w:bottom w:w="0" w:type="dxa"/>
            <w:right w:w="108" w:type="dxa"/>
          </w:tblCellMar>
        </w:tblPrEx>
        <w:trPr>
          <w:trHeight w:val="270" w:hRule="atLeast"/>
        </w:trPr>
        <w:tc>
          <w:tcPr>
            <w:tcW w:w="398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4856"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本年支出</w:t>
            </w:r>
          </w:p>
        </w:tc>
      </w:tr>
      <w:tr>
        <w:tblPrEx>
          <w:tblLayout w:type="fixed"/>
          <w:tblCellMar>
            <w:top w:w="0" w:type="dxa"/>
            <w:left w:w="108" w:type="dxa"/>
            <w:bottom w:w="0" w:type="dxa"/>
            <w:right w:w="108" w:type="dxa"/>
          </w:tblCellMar>
        </w:tblPrEx>
        <w:trPr>
          <w:trHeight w:val="615" w:hRule="atLeast"/>
        </w:trPr>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功能分类科目编码</w:t>
            </w:r>
          </w:p>
        </w:tc>
        <w:tc>
          <w:tcPr>
            <w:tcW w:w="272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科目名称</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小计</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基本支出</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项目支出</w:t>
            </w:r>
          </w:p>
        </w:tc>
      </w:tr>
      <w:tr>
        <w:tblPrEx>
          <w:tblLayout w:type="fixed"/>
          <w:tblCellMar>
            <w:top w:w="0" w:type="dxa"/>
            <w:left w:w="108" w:type="dxa"/>
            <w:bottom w:w="0" w:type="dxa"/>
            <w:right w:w="108" w:type="dxa"/>
          </w:tblCellMar>
        </w:tblPrEx>
        <w:trPr>
          <w:trHeight w:val="270" w:hRule="atLeast"/>
        </w:trPr>
        <w:tc>
          <w:tcPr>
            <w:tcW w:w="398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栏次 </w:t>
            </w:r>
          </w:p>
        </w:tc>
        <w:tc>
          <w:tcPr>
            <w:tcW w:w="153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r>
      <w:tr>
        <w:tblPrEx>
          <w:tblLayout w:type="fixed"/>
          <w:tblCellMar>
            <w:top w:w="0" w:type="dxa"/>
            <w:left w:w="108" w:type="dxa"/>
            <w:bottom w:w="0" w:type="dxa"/>
            <w:right w:w="108" w:type="dxa"/>
          </w:tblCellMar>
        </w:tblPrEx>
        <w:trPr>
          <w:trHeight w:val="270" w:hRule="atLeast"/>
        </w:trPr>
        <w:tc>
          <w:tcPr>
            <w:tcW w:w="3984"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合计 </w:t>
            </w:r>
          </w:p>
        </w:tc>
        <w:tc>
          <w:tcPr>
            <w:tcW w:w="153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332.50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332.50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208</w:t>
            </w:r>
          </w:p>
        </w:tc>
        <w:tc>
          <w:tcPr>
            <w:tcW w:w="272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社会保障和就业支出</w:t>
            </w:r>
          </w:p>
        </w:tc>
        <w:tc>
          <w:tcPr>
            <w:tcW w:w="153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10.00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10.00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20805</w:t>
            </w:r>
          </w:p>
        </w:tc>
        <w:tc>
          <w:tcPr>
            <w:tcW w:w="272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行政事业单位离退休</w:t>
            </w:r>
          </w:p>
        </w:tc>
        <w:tc>
          <w:tcPr>
            <w:tcW w:w="153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10.00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10.00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2080502</w:t>
            </w:r>
          </w:p>
        </w:tc>
        <w:tc>
          <w:tcPr>
            <w:tcW w:w="272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事业单位离退休</w:t>
            </w:r>
          </w:p>
        </w:tc>
        <w:tc>
          <w:tcPr>
            <w:tcW w:w="153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10.00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10.00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214</w:t>
            </w:r>
          </w:p>
        </w:tc>
        <w:tc>
          <w:tcPr>
            <w:tcW w:w="272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交通运输支出</w:t>
            </w:r>
          </w:p>
        </w:tc>
        <w:tc>
          <w:tcPr>
            <w:tcW w:w="153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235.50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235.50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21401</w:t>
            </w:r>
          </w:p>
        </w:tc>
        <w:tc>
          <w:tcPr>
            <w:tcW w:w="272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公路水路运输</w:t>
            </w:r>
          </w:p>
        </w:tc>
        <w:tc>
          <w:tcPr>
            <w:tcW w:w="153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235.50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235.50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2140199</w:t>
            </w:r>
          </w:p>
        </w:tc>
        <w:tc>
          <w:tcPr>
            <w:tcW w:w="272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其他公路水路运输支出</w:t>
            </w:r>
          </w:p>
        </w:tc>
        <w:tc>
          <w:tcPr>
            <w:tcW w:w="153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235.50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235.50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221</w:t>
            </w:r>
          </w:p>
        </w:tc>
        <w:tc>
          <w:tcPr>
            <w:tcW w:w="272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住房保障支出</w:t>
            </w:r>
          </w:p>
        </w:tc>
        <w:tc>
          <w:tcPr>
            <w:tcW w:w="153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87.00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87.00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w:t>
            </w:r>
          </w:p>
        </w:tc>
        <w:tc>
          <w:tcPr>
            <w:tcW w:w="272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住房改革支出</w:t>
            </w:r>
          </w:p>
        </w:tc>
        <w:tc>
          <w:tcPr>
            <w:tcW w:w="153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87.00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87.00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2210201</w:t>
            </w:r>
          </w:p>
        </w:tc>
        <w:tc>
          <w:tcPr>
            <w:tcW w:w="272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住房公积金</w:t>
            </w:r>
          </w:p>
        </w:tc>
        <w:tc>
          <w:tcPr>
            <w:tcW w:w="153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40.00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40.00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0" w:hRule="atLeast"/>
        </w:trPr>
        <w:tc>
          <w:tcPr>
            <w:tcW w:w="1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2210203</w:t>
            </w:r>
          </w:p>
        </w:tc>
        <w:tc>
          <w:tcPr>
            <w:tcW w:w="272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购房补贴</w:t>
            </w:r>
          </w:p>
        </w:tc>
        <w:tc>
          <w:tcPr>
            <w:tcW w:w="153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47.00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47.00</w:t>
            </w:r>
          </w:p>
        </w:tc>
        <w:tc>
          <w:tcPr>
            <w:tcW w:w="16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rPr>
          <w:rFonts w:ascii="仿宋_GB2312" w:eastAsia="仿宋_GB2312"/>
          <w:sz w:val="24"/>
        </w:rPr>
      </w:pPr>
      <w:r>
        <w:rPr>
          <w:rFonts w:hint="eastAsia" w:ascii="仿宋_GB2312" w:eastAsia="仿宋_GB2312"/>
          <w:sz w:val="24"/>
        </w:rPr>
        <w:t>注：本表反映部门本年度一般公共预算财政拨款支出情况。</w:t>
      </w:r>
    </w:p>
    <w:p>
      <w:pPr>
        <w:rPr>
          <w:rFonts w:ascii="仿宋_GB2312" w:eastAsia="仿宋_GB2312"/>
          <w:sz w:val="32"/>
          <w:szCs w:val="32"/>
        </w:rPr>
      </w:pPr>
    </w:p>
    <w:p>
      <w:pPr>
        <w:pStyle w:val="3"/>
        <w:ind w:firstLine="643" w:firstLineChars="200"/>
        <w:rPr>
          <w:rFonts w:ascii="仿宋_GB2312" w:hAnsi="宋体" w:eastAsia="仿宋_GB2312"/>
          <w:b/>
        </w:rPr>
        <w:sectPr>
          <w:pgSz w:w="11906" w:h="16838"/>
          <w:pgMar w:top="1440" w:right="1800" w:bottom="1440" w:left="1800" w:header="851" w:footer="992" w:gutter="0"/>
          <w:cols w:space="425" w:num="1"/>
          <w:docGrid w:type="lines" w:linePitch="312" w:charSpace="0"/>
        </w:sectPr>
      </w:pPr>
    </w:p>
    <w:p>
      <w:pPr>
        <w:pStyle w:val="3"/>
        <w:ind w:firstLine="643" w:firstLineChars="200"/>
        <w:rPr>
          <w:rFonts w:ascii="仿宋_GB2312" w:hAnsi="宋体" w:eastAsia="仿宋_GB2312"/>
          <w:b/>
        </w:rPr>
      </w:pPr>
      <w:bookmarkStart w:id="9" w:name="_Toc536437210"/>
      <w:r>
        <w:rPr>
          <w:rFonts w:hint="eastAsia" w:ascii="仿宋_GB2312" w:hAnsi="宋体" w:eastAsia="仿宋_GB2312"/>
          <w:b/>
        </w:rPr>
        <w:t>六、一般公共预算财政拨款基本支出决算表</w:t>
      </w:r>
      <w:bookmarkEnd w:id="9"/>
    </w:p>
    <w:p>
      <w:pPr>
        <w:jc w:val="right"/>
        <w:rPr>
          <w:rFonts w:ascii="仿宋_GB2312" w:eastAsia="仿宋_GB2312"/>
          <w:sz w:val="24"/>
          <w:szCs w:val="32"/>
        </w:rPr>
      </w:pPr>
      <w:r>
        <w:rPr>
          <w:rFonts w:hint="eastAsia" w:ascii="仿宋_GB2312" w:eastAsia="仿宋_GB2312"/>
          <w:sz w:val="24"/>
          <w:szCs w:val="32"/>
        </w:rPr>
        <w:t>公开表06</w:t>
      </w:r>
    </w:p>
    <w:p>
      <w:pPr>
        <w:jc w:val="right"/>
        <w:rPr>
          <w:rFonts w:ascii="仿宋_GB2312" w:eastAsia="仿宋_GB2312"/>
          <w:sz w:val="22"/>
          <w:szCs w:val="32"/>
        </w:rPr>
      </w:pPr>
      <w:r>
        <w:rPr>
          <w:rFonts w:hint="eastAsia" w:ascii="仿宋_GB2312" w:eastAsia="仿宋_GB2312"/>
          <w:sz w:val="22"/>
          <w:szCs w:val="32"/>
        </w:rPr>
        <w:t>金额单位：万元</w:t>
      </w:r>
    </w:p>
    <w:p>
      <w:pPr>
        <w:jc w:val="right"/>
      </w:pPr>
    </w:p>
    <w:p>
      <w:pPr>
        <w:tabs>
          <w:tab w:val="left" w:pos="615"/>
        </w:tabs>
      </w:pPr>
      <w:r>
        <w:tab/>
      </w:r>
    </w:p>
    <w:tbl>
      <w:tblPr>
        <w:tblStyle w:val="9"/>
        <w:tblW w:w="15741" w:type="dxa"/>
        <w:tblInd w:w="93" w:type="dxa"/>
        <w:tblLayout w:type="fixed"/>
        <w:tblCellMar>
          <w:top w:w="0" w:type="dxa"/>
          <w:left w:w="108" w:type="dxa"/>
          <w:bottom w:w="0" w:type="dxa"/>
          <w:right w:w="108" w:type="dxa"/>
        </w:tblCellMar>
      </w:tblPr>
      <w:tblGrid>
        <w:gridCol w:w="1154"/>
        <w:gridCol w:w="3397"/>
        <w:gridCol w:w="1134"/>
        <w:gridCol w:w="1276"/>
        <w:gridCol w:w="2268"/>
        <w:gridCol w:w="1134"/>
        <w:gridCol w:w="1134"/>
        <w:gridCol w:w="2268"/>
        <w:gridCol w:w="1110"/>
        <w:gridCol w:w="866"/>
      </w:tblGrid>
      <w:tr>
        <w:tblPrEx>
          <w:tblLayout w:type="fixed"/>
          <w:tblCellMar>
            <w:top w:w="0" w:type="dxa"/>
            <w:left w:w="108" w:type="dxa"/>
            <w:bottom w:w="0" w:type="dxa"/>
            <w:right w:w="108" w:type="dxa"/>
          </w:tblCellMar>
        </w:tblPrEx>
        <w:trPr>
          <w:gridAfter w:val="1"/>
          <w:wAfter w:w="866" w:type="dxa"/>
          <w:trHeight w:val="270" w:hRule="atLeast"/>
        </w:trPr>
        <w:tc>
          <w:tcPr>
            <w:tcW w:w="5685"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人员经费</w:t>
            </w:r>
          </w:p>
        </w:tc>
        <w:tc>
          <w:tcPr>
            <w:tcW w:w="9190"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公用经费</w:t>
            </w:r>
          </w:p>
        </w:tc>
      </w:tr>
      <w:tr>
        <w:tblPrEx>
          <w:tblLayout w:type="fixed"/>
          <w:tblCellMar>
            <w:top w:w="0" w:type="dxa"/>
            <w:left w:w="108" w:type="dxa"/>
            <w:bottom w:w="0" w:type="dxa"/>
            <w:right w:w="108" w:type="dxa"/>
          </w:tblCellMar>
        </w:tblPrEx>
        <w:trPr>
          <w:gridAfter w:val="1"/>
          <w:wAfter w:w="866" w:type="dxa"/>
          <w:trHeight w:val="720" w:hRule="atLeast"/>
        </w:trPr>
        <w:tc>
          <w:tcPr>
            <w:tcW w:w="11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经济分类科目编码</w:t>
            </w:r>
          </w:p>
        </w:tc>
        <w:tc>
          <w:tcPr>
            <w:tcW w:w="339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科目名称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金额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经济分类科目编码</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科目名称</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金额</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经济分类科目编码</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科目名称</w:t>
            </w:r>
          </w:p>
        </w:tc>
        <w:tc>
          <w:tcPr>
            <w:tcW w:w="111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金额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工资福利支出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493.12</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商品和服务支出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57.09</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310</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其他资本性支出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0.41</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30101</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基本工资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61.51</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30201</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办公费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1.41</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31002</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办公设备购置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0.41</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30102</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津贴补贴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51.42</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30202</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印刷费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0.30</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31003</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专用设备购置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30103</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奖金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30203</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咨询费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31007</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信息网络及软件购置更新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30104</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其他社会保障缴费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30204</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手续费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0.29</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31013</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公务用车购置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30106</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伙食补助费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30205</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水费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30107</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绩效工资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188.27</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30206</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电费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30108</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机关事业单位基本养老保险缴费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93.99</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30207</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邮电费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0.51</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30109</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职业年金缴费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57.93</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30208</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取暖费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30199</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其他工资福利支出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30209</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物业管理费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1.82</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对个人和家庭的补助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10.00</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30211</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差旅费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3.83</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30301</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离休费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30212</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因公出国（境）费用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30302</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退休费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3.70</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30213</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维修（护）费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20.38</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30303</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退职（役）费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30214</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租赁费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30304</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抚恤金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30215</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会议费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0.36</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30305</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生活补助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6.30</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30216</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培训费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0.56</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30307</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医疗费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30217</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公务接待费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30308</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助学金</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30218</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专用材料费</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0.34</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30309</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奖励金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30226</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劳务费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30311</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住房公积金</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40.00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30227</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委托业务费</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1.06</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30312</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提租补贴</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30228</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工会经费</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30313</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购房补贴</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30229</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福利费</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8.24</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30314</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采暖补贴</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30231</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公务用车运行维护费</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15.25</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30315</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物业服务补贴</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30239</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其他交通费用</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30399</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其他对个人和家庭的补助支出</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30240</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税金及附加费用</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r>
      <w:tr>
        <w:tblPrEx>
          <w:tblLayout w:type="fixed"/>
          <w:tblCellMar>
            <w:top w:w="0" w:type="dxa"/>
            <w:left w:w="108" w:type="dxa"/>
            <w:bottom w:w="0" w:type="dxa"/>
            <w:right w:w="108" w:type="dxa"/>
          </w:tblCellMar>
        </w:tblPrEx>
        <w:trPr>
          <w:gridAfter w:val="1"/>
          <w:wAfter w:w="866" w:type="dxa"/>
          <w:trHeight w:val="270" w:hRule="atLeast"/>
        </w:trPr>
        <w:tc>
          <w:tcPr>
            <w:tcW w:w="115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3397"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30299</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其他商品和服务支出</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2.74</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r>
      <w:tr>
        <w:tblPrEx>
          <w:tblLayout w:type="fixed"/>
          <w:tblCellMar>
            <w:top w:w="0" w:type="dxa"/>
            <w:left w:w="108" w:type="dxa"/>
            <w:bottom w:w="0" w:type="dxa"/>
            <w:right w:w="108" w:type="dxa"/>
          </w:tblCellMar>
        </w:tblPrEx>
        <w:trPr>
          <w:trHeight w:val="270" w:hRule="atLeast"/>
        </w:trPr>
        <w:tc>
          <w:tcPr>
            <w:tcW w:w="4551"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人员经费合计</w:t>
            </w:r>
            <w:r>
              <w:rPr>
                <w:rFonts w:hint="eastAsia" w:ascii="仿宋_GB2312" w:hAnsi="宋体" w:eastAsia="仿宋_GB2312" w:cs="宋体"/>
                <w:kern w:val="0"/>
                <w:sz w:val="22"/>
                <w:szCs w:val="22"/>
              </w:rPr>
              <w:t xml:space="preserve">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503.12</w:t>
            </w:r>
          </w:p>
        </w:tc>
        <w:tc>
          <w:tcPr>
            <w:tcW w:w="808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公用经费合计</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57.50</w:t>
            </w:r>
          </w:p>
        </w:tc>
        <w:tc>
          <w:tcPr>
            <w:tcW w:w="866" w:type="dxa"/>
            <w:tcBorders>
              <w:top w:val="nil"/>
              <w:left w:val="nil"/>
              <w:bottom w:val="nil"/>
              <w:right w:val="single" w:color="auto" w:sz="4" w:space="0"/>
            </w:tcBorders>
            <w:shd w:val="clear" w:color="auto" w:fill="auto"/>
            <w:vAlign w:val="center"/>
          </w:tcPr>
          <w:p>
            <w:pPr>
              <w:widowControl/>
              <w:jc w:val="left"/>
              <w:rPr>
                <w:rFonts w:ascii="仿宋_GB2312" w:hAnsi="宋体" w:eastAsia="仿宋_GB2312" w:cs="宋体"/>
                <w:color w:val="000000"/>
                <w:kern w:val="0"/>
                <w:sz w:val="22"/>
                <w:szCs w:val="22"/>
              </w:rPr>
            </w:pPr>
          </w:p>
        </w:tc>
      </w:tr>
    </w:tbl>
    <w:p>
      <w:pPr>
        <w:tabs>
          <w:tab w:val="left" w:pos="615"/>
        </w:tabs>
        <w:rPr>
          <w:rFonts w:ascii="仿宋_GB2312" w:eastAsia="仿宋_GB2312"/>
          <w:sz w:val="24"/>
        </w:rPr>
      </w:pPr>
      <w:r>
        <w:rPr>
          <w:rFonts w:hint="eastAsia" w:ascii="仿宋_GB2312" w:eastAsia="仿宋_GB2312"/>
          <w:sz w:val="24"/>
        </w:rPr>
        <w:t>注：本表反映部门本年度一般公共预算财政拨款基本支出明细情况。</w:t>
      </w:r>
      <w:bookmarkStart w:id="10" w:name="_Toc536437211"/>
    </w:p>
    <w:p>
      <w:pPr>
        <w:pStyle w:val="3"/>
        <w:ind w:firstLine="643" w:firstLineChars="200"/>
        <w:rPr>
          <w:rFonts w:ascii="仿宋_GB2312" w:hAnsi="宋体" w:eastAsia="仿宋_GB2312"/>
          <w:b/>
        </w:rPr>
      </w:pPr>
    </w:p>
    <w:p/>
    <w:p/>
    <w:p/>
    <w:p/>
    <w:p/>
    <w:p/>
    <w:p>
      <w:pPr>
        <w:pStyle w:val="3"/>
        <w:ind w:firstLine="643" w:firstLineChars="200"/>
        <w:rPr>
          <w:rFonts w:ascii="仿宋_GB2312" w:hAnsi="宋体" w:eastAsia="仿宋_GB2312"/>
          <w:b/>
        </w:rPr>
      </w:pPr>
      <w:r>
        <w:rPr>
          <w:rFonts w:hint="eastAsia" w:ascii="仿宋_GB2312" w:hAnsi="宋体" w:eastAsia="仿宋_GB2312"/>
          <w:b/>
        </w:rPr>
        <w:t>七、一般公共预算财政拨款“三公”经费支出决算表</w:t>
      </w:r>
      <w:bookmarkEnd w:id="10"/>
    </w:p>
    <w:p>
      <w:pPr>
        <w:jc w:val="right"/>
        <w:rPr>
          <w:rFonts w:ascii="仿宋_GB2312" w:eastAsia="仿宋_GB2312"/>
          <w:sz w:val="24"/>
          <w:szCs w:val="32"/>
        </w:rPr>
      </w:pPr>
      <w:r>
        <w:rPr>
          <w:rFonts w:hint="eastAsia" w:ascii="仿宋_GB2312" w:eastAsia="仿宋_GB2312"/>
          <w:sz w:val="24"/>
          <w:szCs w:val="32"/>
        </w:rPr>
        <w:t>公开表07</w:t>
      </w:r>
    </w:p>
    <w:p>
      <w:pPr>
        <w:jc w:val="right"/>
        <w:rPr>
          <w:rFonts w:ascii="仿宋_GB2312" w:eastAsia="仿宋_GB2312"/>
          <w:sz w:val="22"/>
          <w:szCs w:val="32"/>
        </w:rPr>
      </w:pPr>
      <w:r>
        <w:rPr>
          <w:rFonts w:hint="eastAsia" w:ascii="仿宋_GB2312" w:eastAsia="仿宋_GB2312"/>
          <w:sz w:val="22"/>
          <w:szCs w:val="32"/>
        </w:rPr>
        <w:t>金额单位：万元</w:t>
      </w:r>
    </w:p>
    <w:tbl>
      <w:tblPr>
        <w:tblStyle w:val="9"/>
        <w:tblW w:w="14174" w:type="dxa"/>
        <w:tblInd w:w="0" w:type="dxa"/>
        <w:tblLayout w:type="fixed"/>
        <w:tblCellMar>
          <w:top w:w="0" w:type="dxa"/>
          <w:left w:w="108" w:type="dxa"/>
          <w:bottom w:w="0" w:type="dxa"/>
          <w:right w:w="108" w:type="dxa"/>
        </w:tblCellMar>
      </w:tblPr>
      <w:tblGrid>
        <w:gridCol w:w="847"/>
        <w:gridCol w:w="1664"/>
        <w:gridCol w:w="856"/>
        <w:gridCol w:w="1293"/>
        <w:gridCol w:w="1485"/>
        <w:gridCol w:w="1120"/>
        <w:gridCol w:w="578"/>
        <w:gridCol w:w="1664"/>
        <w:gridCol w:w="578"/>
        <w:gridCol w:w="1483"/>
        <w:gridCol w:w="1483"/>
        <w:gridCol w:w="1123"/>
      </w:tblGrid>
      <w:tr>
        <w:tblPrEx>
          <w:tblLayout w:type="fixed"/>
          <w:tblCellMar>
            <w:top w:w="0" w:type="dxa"/>
            <w:left w:w="108" w:type="dxa"/>
            <w:bottom w:w="0" w:type="dxa"/>
            <w:right w:w="108" w:type="dxa"/>
          </w:tblCellMar>
        </w:tblPrEx>
        <w:trPr>
          <w:trHeight w:val="270" w:hRule="atLeast"/>
        </w:trPr>
        <w:tc>
          <w:tcPr>
            <w:tcW w:w="7265"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预算数</w:t>
            </w:r>
          </w:p>
        </w:tc>
        <w:tc>
          <w:tcPr>
            <w:tcW w:w="6909"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决算数</w:t>
            </w:r>
          </w:p>
        </w:tc>
      </w:tr>
      <w:tr>
        <w:tblPrEx>
          <w:tblLayout w:type="fixed"/>
          <w:tblCellMar>
            <w:top w:w="0" w:type="dxa"/>
            <w:left w:w="108" w:type="dxa"/>
            <w:bottom w:w="0" w:type="dxa"/>
            <w:right w:w="108" w:type="dxa"/>
          </w:tblCellMar>
        </w:tblPrEx>
        <w:trPr>
          <w:trHeight w:val="270" w:hRule="atLeast"/>
        </w:trPr>
        <w:tc>
          <w:tcPr>
            <w:tcW w:w="84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66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因公出国（境）费</w:t>
            </w:r>
          </w:p>
        </w:tc>
        <w:tc>
          <w:tcPr>
            <w:tcW w:w="3634"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公务用车购置及运行费</w:t>
            </w:r>
          </w:p>
        </w:tc>
        <w:tc>
          <w:tcPr>
            <w:tcW w:w="112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公务接待费</w:t>
            </w:r>
          </w:p>
        </w:tc>
        <w:tc>
          <w:tcPr>
            <w:tcW w:w="57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66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因公出国（境）费</w:t>
            </w:r>
          </w:p>
        </w:tc>
        <w:tc>
          <w:tcPr>
            <w:tcW w:w="3544"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公务用车购置及运行费</w:t>
            </w:r>
          </w:p>
        </w:tc>
        <w:tc>
          <w:tcPr>
            <w:tcW w:w="1123" w:type="dxa"/>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公务接待费</w:t>
            </w:r>
          </w:p>
        </w:tc>
      </w:tr>
      <w:tr>
        <w:tblPrEx>
          <w:tblLayout w:type="fixed"/>
          <w:tblCellMar>
            <w:top w:w="0" w:type="dxa"/>
            <w:left w:w="108" w:type="dxa"/>
            <w:bottom w:w="0" w:type="dxa"/>
            <w:right w:w="108" w:type="dxa"/>
          </w:tblCellMar>
        </w:tblPrEx>
        <w:trPr>
          <w:trHeight w:val="270" w:hRule="atLeast"/>
        </w:trPr>
        <w:tc>
          <w:tcPr>
            <w:tcW w:w="84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66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小计</w:t>
            </w:r>
          </w:p>
        </w:tc>
        <w:tc>
          <w:tcPr>
            <w:tcW w:w="12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公务用车购置费</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公务用车运行费</w:t>
            </w:r>
          </w:p>
        </w:tc>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57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66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57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小计</w:t>
            </w:r>
          </w:p>
        </w:tc>
        <w:tc>
          <w:tcPr>
            <w:tcW w:w="148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公务用车购置费</w:t>
            </w:r>
          </w:p>
        </w:tc>
        <w:tc>
          <w:tcPr>
            <w:tcW w:w="148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公务用车运行费</w:t>
            </w:r>
          </w:p>
        </w:tc>
        <w:tc>
          <w:tcPr>
            <w:tcW w:w="1123" w:type="dxa"/>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8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66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8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2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57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w:t>
            </w:r>
          </w:p>
        </w:tc>
        <w:tc>
          <w:tcPr>
            <w:tcW w:w="166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c>
          <w:tcPr>
            <w:tcW w:w="57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9</w:t>
            </w:r>
          </w:p>
        </w:tc>
        <w:tc>
          <w:tcPr>
            <w:tcW w:w="148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10</w:t>
            </w:r>
          </w:p>
        </w:tc>
        <w:tc>
          <w:tcPr>
            <w:tcW w:w="148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11</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12</w:t>
            </w:r>
          </w:p>
        </w:tc>
      </w:tr>
      <w:tr>
        <w:tblPrEx>
          <w:tblLayout w:type="fixed"/>
          <w:tblCellMar>
            <w:top w:w="0" w:type="dxa"/>
            <w:left w:w="108" w:type="dxa"/>
            <w:bottom w:w="0" w:type="dxa"/>
            <w:right w:w="108" w:type="dxa"/>
          </w:tblCellMar>
        </w:tblPrEx>
        <w:trPr>
          <w:trHeight w:val="270" w:hRule="atLeast"/>
        </w:trPr>
        <w:tc>
          <w:tcPr>
            <w:tcW w:w="8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15.25</w:t>
            </w:r>
          </w:p>
        </w:tc>
        <w:tc>
          <w:tcPr>
            <w:tcW w:w="166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15.25　</w:t>
            </w:r>
          </w:p>
        </w:tc>
        <w:tc>
          <w:tcPr>
            <w:tcW w:w="129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15.25</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57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57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48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rPr>
          <w:rFonts w:ascii="仿宋_GB2312" w:eastAsia="仿宋_GB2312"/>
          <w:sz w:val="24"/>
        </w:rPr>
      </w:pPr>
      <w:r>
        <w:rPr>
          <w:rFonts w:hint="eastAsia" w:ascii="仿宋_GB2312" w:eastAsia="仿宋_GB2312"/>
          <w:sz w:val="24"/>
        </w:rPr>
        <w:t>注：本表反映部门本年度“三公”经费支出预决算情况。其中：预算数为“三公”经费年初预算数，决算数是包括当年一般公共预算财政拨款和以前年度结转资金安排的实际支出。</w:t>
      </w:r>
    </w:p>
    <w:p>
      <w:pPr>
        <w:pStyle w:val="3"/>
        <w:ind w:firstLine="643" w:firstLineChars="200"/>
        <w:rPr>
          <w:rFonts w:ascii="仿宋_GB2312" w:hAnsi="宋体" w:eastAsia="仿宋_GB2312"/>
          <w:b/>
        </w:rPr>
        <w:sectPr>
          <w:pgSz w:w="16838" w:h="11906" w:orient="landscape"/>
          <w:pgMar w:top="1800" w:right="1440" w:bottom="1800" w:left="1440" w:header="851" w:footer="992" w:gutter="0"/>
          <w:cols w:space="425" w:num="1"/>
          <w:docGrid w:type="lines" w:linePitch="312" w:charSpace="0"/>
        </w:sectPr>
      </w:pPr>
    </w:p>
    <w:p>
      <w:pPr>
        <w:pStyle w:val="3"/>
        <w:ind w:firstLine="643" w:firstLineChars="200"/>
        <w:rPr>
          <w:rFonts w:ascii="仿宋_GB2312" w:hAnsi="宋体" w:eastAsia="仿宋_GB2312"/>
          <w:b/>
        </w:rPr>
      </w:pPr>
      <w:bookmarkStart w:id="11" w:name="_Toc536437212"/>
      <w:r>
        <w:rPr>
          <w:rFonts w:hint="eastAsia" w:ascii="仿宋_GB2312" w:hAnsi="宋体" w:eastAsia="仿宋_GB2312"/>
          <w:b/>
        </w:rPr>
        <w:t>八、政府性基金预算财政拨款收入支出决算表</w:t>
      </w:r>
      <w:bookmarkEnd w:id="11"/>
    </w:p>
    <w:p>
      <w:pPr>
        <w:jc w:val="right"/>
        <w:rPr>
          <w:rFonts w:ascii="仿宋_GB2312" w:eastAsia="仿宋_GB2312"/>
          <w:sz w:val="24"/>
          <w:szCs w:val="32"/>
        </w:rPr>
      </w:pPr>
      <w:r>
        <w:rPr>
          <w:rFonts w:hint="eastAsia" w:ascii="仿宋_GB2312" w:eastAsia="仿宋_GB2312"/>
          <w:sz w:val="24"/>
          <w:szCs w:val="32"/>
        </w:rPr>
        <w:t>公开表08</w:t>
      </w:r>
    </w:p>
    <w:p>
      <w:pPr>
        <w:jc w:val="right"/>
        <w:rPr>
          <w:rFonts w:ascii="仿宋_GB2312" w:eastAsia="仿宋_GB2312"/>
          <w:sz w:val="22"/>
          <w:szCs w:val="32"/>
        </w:rPr>
      </w:pPr>
      <w:r>
        <w:rPr>
          <w:rFonts w:hint="eastAsia" w:ascii="仿宋_GB2312" w:eastAsia="仿宋_GB2312"/>
          <w:sz w:val="22"/>
          <w:szCs w:val="32"/>
        </w:rPr>
        <w:t>金额单位：万元</w:t>
      </w:r>
    </w:p>
    <w:tbl>
      <w:tblPr>
        <w:tblStyle w:val="9"/>
        <w:tblW w:w="8804" w:type="dxa"/>
        <w:tblInd w:w="93" w:type="dxa"/>
        <w:tblLayout w:type="fixed"/>
        <w:tblCellMar>
          <w:top w:w="0" w:type="dxa"/>
          <w:left w:w="108" w:type="dxa"/>
          <w:bottom w:w="0" w:type="dxa"/>
          <w:right w:w="108" w:type="dxa"/>
        </w:tblCellMar>
      </w:tblPr>
      <w:tblGrid>
        <w:gridCol w:w="1180"/>
        <w:gridCol w:w="1080"/>
        <w:gridCol w:w="1157"/>
        <w:gridCol w:w="1134"/>
        <w:gridCol w:w="851"/>
        <w:gridCol w:w="1134"/>
        <w:gridCol w:w="1134"/>
        <w:gridCol w:w="1134"/>
      </w:tblGrid>
      <w:tr>
        <w:tblPrEx>
          <w:tblLayout w:type="fixed"/>
          <w:tblCellMar>
            <w:top w:w="0" w:type="dxa"/>
            <w:left w:w="108" w:type="dxa"/>
            <w:bottom w:w="0" w:type="dxa"/>
            <w:right w:w="108" w:type="dxa"/>
          </w:tblCellMar>
        </w:tblPrEx>
        <w:trPr>
          <w:trHeight w:val="270" w:hRule="atLeast"/>
        </w:trPr>
        <w:tc>
          <w:tcPr>
            <w:tcW w:w="226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w:t>
            </w:r>
          </w:p>
        </w:tc>
        <w:tc>
          <w:tcPr>
            <w:tcW w:w="115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年初结转和结余</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本年收入</w:t>
            </w:r>
          </w:p>
        </w:tc>
        <w:tc>
          <w:tcPr>
            <w:tcW w:w="3119"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本年支出</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年末结转和结余</w:t>
            </w:r>
          </w:p>
        </w:tc>
      </w:tr>
      <w:tr>
        <w:tblPrEx>
          <w:tblLayout w:type="fixed"/>
          <w:tblCellMar>
            <w:top w:w="0" w:type="dxa"/>
            <w:left w:w="108" w:type="dxa"/>
            <w:bottom w:w="0" w:type="dxa"/>
            <w:right w:w="108" w:type="dxa"/>
          </w:tblCellMar>
        </w:tblPrEx>
        <w:trPr>
          <w:trHeight w:val="615"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功能分类科目编码</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科目名称</w:t>
            </w:r>
          </w:p>
        </w:tc>
        <w:tc>
          <w:tcPr>
            <w:tcW w:w="115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小计</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基本支出</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项目支出</w:t>
            </w: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270" w:hRule="atLeast"/>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栏次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11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r>
      <w:tr>
        <w:tblPrEx>
          <w:tblLayout w:type="fixed"/>
          <w:tblCellMar>
            <w:top w:w="0" w:type="dxa"/>
            <w:left w:w="108" w:type="dxa"/>
            <w:bottom w:w="0" w:type="dxa"/>
            <w:right w:w="108" w:type="dxa"/>
          </w:tblCellMar>
        </w:tblPrEx>
        <w:trPr>
          <w:trHeight w:val="255" w:hRule="atLeast"/>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r>
      <w:tr>
        <w:tblPrEx>
          <w:tblLayout w:type="fixed"/>
          <w:tblCellMar>
            <w:top w:w="0" w:type="dxa"/>
            <w:left w:w="108" w:type="dxa"/>
            <w:bottom w:w="0" w:type="dxa"/>
            <w:right w:w="108" w:type="dxa"/>
          </w:tblCellMar>
        </w:tblPrEx>
        <w:trPr>
          <w:trHeight w:val="255" w:hRule="atLeast"/>
        </w:trPr>
        <w:tc>
          <w:tcPr>
            <w:tcW w:w="11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rPr>
          <w:rFonts w:ascii="仿宋_GB2312" w:eastAsia="仿宋_GB2312"/>
          <w:sz w:val="24"/>
        </w:rPr>
      </w:pPr>
      <w:r>
        <w:rPr>
          <w:rFonts w:hint="eastAsia" w:ascii="仿宋_GB2312" w:eastAsia="仿宋_GB2312"/>
          <w:sz w:val="24"/>
        </w:rPr>
        <w:t>注：本表反映部门本年度政府性基金预算财政拨款收入、支出及结转和结余情况。</w:t>
      </w:r>
    </w:p>
    <w:p>
      <w:pPr>
        <w:rPr>
          <w:rFonts w:ascii="仿宋_GB2312" w:eastAsia="仿宋_GB2312"/>
          <w:sz w:val="24"/>
        </w:rPr>
        <w:sectPr>
          <w:pgSz w:w="11906" w:h="16838"/>
          <w:pgMar w:top="1440" w:right="1800" w:bottom="1440" w:left="1800" w:header="851" w:footer="992" w:gutter="0"/>
          <w:cols w:space="425" w:num="1"/>
          <w:docGrid w:type="lines" w:linePitch="312" w:charSpace="0"/>
        </w:sectPr>
      </w:pPr>
    </w:p>
    <w:p>
      <w:pPr>
        <w:pStyle w:val="2"/>
        <w:rPr>
          <w:rFonts w:ascii="宋体" w:hAnsi="宋体"/>
          <w:sz w:val="36"/>
          <w:szCs w:val="32"/>
        </w:rPr>
      </w:pPr>
      <w:bookmarkStart w:id="12" w:name="_Toc536437213"/>
      <w:r>
        <w:rPr>
          <w:rFonts w:hint="eastAsia" w:ascii="宋体" w:hAnsi="宋体"/>
          <w:sz w:val="36"/>
          <w:szCs w:val="32"/>
        </w:rPr>
        <w:t>第三部分 2020年度部门决算情况说明</w:t>
      </w:r>
      <w:bookmarkEnd w:id="12"/>
    </w:p>
    <w:p>
      <w:pPr>
        <w:ind w:firstLine="640" w:firstLineChars="200"/>
        <w:rPr>
          <w:rFonts w:ascii="仿宋_GB2312" w:hAnsi="宋体" w:eastAsia="仿宋_GB2312"/>
          <w:sz w:val="32"/>
          <w:szCs w:val="32"/>
        </w:rPr>
      </w:pPr>
      <w:r>
        <w:rPr>
          <w:rFonts w:hint="eastAsia" w:ascii="仿宋_GB2312" w:hAnsi="宋体" w:eastAsia="仿宋_GB2312"/>
          <w:sz w:val="32"/>
          <w:szCs w:val="32"/>
        </w:rPr>
        <w:t>一、关于收支情况总体说明</w:t>
      </w:r>
    </w:p>
    <w:p>
      <w:pPr>
        <w:ind w:firstLine="640" w:firstLineChars="200"/>
        <w:rPr>
          <w:rFonts w:ascii="仿宋_GB2312" w:hAnsi="宋体" w:eastAsia="仿宋_GB2312"/>
          <w:sz w:val="32"/>
          <w:szCs w:val="32"/>
        </w:rPr>
      </w:pPr>
      <w:r>
        <w:rPr>
          <w:rFonts w:hint="eastAsia" w:ascii="仿宋_GB2312" w:hAnsi="宋体" w:eastAsia="仿宋_GB2312"/>
          <w:sz w:val="32"/>
          <w:szCs w:val="32"/>
        </w:rPr>
        <w:t>浙江海事局后勤管理中心2020年度收支总决算2412.6万元。其中：</w:t>
      </w:r>
    </w:p>
    <w:p>
      <w:pPr>
        <w:ind w:firstLine="640" w:firstLineChars="200"/>
        <w:rPr>
          <w:rFonts w:ascii="仿宋_GB2312" w:hAnsi="宋体" w:eastAsia="仿宋_GB2312"/>
          <w:sz w:val="32"/>
          <w:szCs w:val="32"/>
        </w:rPr>
      </w:pPr>
      <w:r>
        <w:rPr>
          <w:rFonts w:hint="eastAsia" w:ascii="仿宋_GB2312" w:hAnsi="宋体" w:eastAsia="仿宋_GB2312"/>
          <w:sz w:val="32"/>
          <w:szCs w:val="32"/>
        </w:rPr>
        <w:t>（一）收入总计1206.31万元。包括：</w:t>
      </w:r>
    </w:p>
    <w:p>
      <w:pPr>
        <w:ind w:firstLine="640" w:firstLineChars="200"/>
        <w:rPr>
          <w:rFonts w:ascii="仿宋_GB2312" w:hAnsi="宋体" w:eastAsia="仿宋_GB2312"/>
          <w:sz w:val="32"/>
          <w:szCs w:val="32"/>
        </w:rPr>
      </w:pPr>
      <w:r>
        <w:rPr>
          <w:rFonts w:hint="eastAsia" w:ascii="仿宋_GB2312" w:hAnsi="宋体" w:eastAsia="仿宋_GB2312"/>
          <w:sz w:val="32"/>
          <w:szCs w:val="32"/>
        </w:rPr>
        <w:t>1.财政拨款收入332.50万元，为中央财政当年拨付的资金，较2019年决算数减少271.91万元，降幅44.99%。</w:t>
      </w:r>
    </w:p>
    <w:p>
      <w:pPr>
        <w:ind w:firstLine="640" w:firstLineChars="200"/>
        <w:rPr>
          <w:rFonts w:ascii="仿宋_GB2312" w:hAnsi="宋体" w:eastAsia="仿宋_GB2312"/>
          <w:sz w:val="32"/>
          <w:szCs w:val="32"/>
        </w:rPr>
      </w:pPr>
      <w:r>
        <w:rPr>
          <w:rFonts w:hint="eastAsia" w:ascii="仿宋_GB2312" w:hAnsi="宋体" w:eastAsia="仿宋_GB2312"/>
          <w:sz w:val="32"/>
          <w:szCs w:val="32"/>
        </w:rPr>
        <w:t>2.财政拨款上年结转228.12万元，为以前年度尚未完成，结转到本年仍按原规定用途继续使用的财政资金。</w:t>
      </w:r>
    </w:p>
    <w:p>
      <w:pPr>
        <w:ind w:firstLine="640" w:firstLineChars="200"/>
        <w:rPr>
          <w:rFonts w:ascii="仿宋_GB2312" w:hAnsi="宋体" w:eastAsia="仿宋_GB2312"/>
          <w:sz w:val="32"/>
          <w:szCs w:val="32"/>
        </w:rPr>
      </w:pPr>
      <w:r>
        <w:rPr>
          <w:rFonts w:hint="eastAsia" w:ascii="仿宋_GB2312" w:hAnsi="宋体" w:eastAsia="仿宋_GB2312"/>
          <w:sz w:val="32"/>
          <w:szCs w:val="32"/>
        </w:rPr>
        <w:t>3.其他收入201.71万元，为本单位在本级财政拨款收入、事业收入、经营收入、附属单位上缴收入等之外取得的收入。例如：存款利息收入、本单位取得的资产出租收入和投资收益等。较2019年决算数减少75.21万元，降幅27.16%。主要原因是2020年单位根据政策，对外减免部分房租。</w:t>
      </w:r>
    </w:p>
    <w:p>
      <w:pPr>
        <w:ind w:firstLine="640" w:firstLineChars="200"/>
        <w:rPr>
          <w:rFonts w:ascii="仿宋_GB2312" w:hAnsi="宋体" w:eastAsia="仿宋_GB2312"/>
          <w:sz w:val="32"/>
          <w:szCs w:val="32"/>
        </w:rPr>
      </w:pPr>
      <w:r>
        <w:rPr>
          <w:rFonts w:hint="eastAsia" w:ascii="仿宋_GB2312" w:hAnsi="宋体" w:eastAsia="仿宋_GB2312"/>
          <w:sz w:val="32"/>
          <w:szCs w:val="32"/>
        </w:rPr>
        <w:t>4.用非财政拨款结余弥补收支差额443.98万元。</w:t>
      </w:r>
    </w:p>
    <w:p>
      <w:pPr>
        <w:ind w:firstLine="640" w:firstLineChars="200"/>
        <w:rPr>
          <w:rFonts w:ascii="仿宋_GB2312" w:hAnsi="宋体" w:eastAsia="仿宋_GB2312"/>
          <w:sz w:val="32"/>
          <w:szCs w:val="32"/>
        </w:rPr>
      </w:pPr>
      <w:r>
        <w:rPr>
          <w:rFonts w:hint="eastAsia" w:ascii="仿宋_GB2312" w:hAnsi="宋体" w:eastAsia="仿宋_GB2312"/>
          <w:sz w:val="32"/>
          <w:szCs w:val="32"/>
        </w:rPr>
        <w:t>（二）支出总计1206.31万元。包括：</w:t>
      </w:r>
    </w:p>
    <w:p>
      <w:pPr>
        <w:ind w:firstLine="640" w:firstLineChars="200"/>
        <w:rPr>
          <w:rFonts w:ascii="仿宋_GB2312" w:hAnsi="宋体" w:eastAsia="仿宋_GB2312"/>
          <w:sz w:val="32"/>
          <w:szCs w:val="32"/>
        </w:rPr>
      </w:pPr>
      <w:r>
        <w:rPr>
          <w:rFonts w:hint="eastAsia" w:ascii="仿宋_GB2312" w:hAnsi="宋体" w:eastAsia="仿宋_GB2312"/>
          <w:sz w:val="32"/>
          <w:szCs w:val="32"/>
        </w:rPr>
        <w:t>1.社会保障和就业（类）支出340.08万元，主要用于本单位事业单位离退休人员经费支出。较2019年决算增加300.37万元，增幅756.41%。主要原因是2020年进行了养老保险清算补缴工作。</w:t>
      </w:r>
    </w:p>
    <w:p>
      <w:pPr>
        <w:ind w:firstLine="640" w:firstLineChars="200"/>
        <w:rPr>
          <w:rFonts w:ascii="仿宋_GB2312" w:hAnsi="宋体" w:eastAsia="仿宋_GB2312"/>
          <w:sz w:val="32"/>
          <w:szCs w:val="32"/>
        </w:rPr>
      </w:pPr>
      <w:r>
        <w:rPr>
          <w:rFonts w:hint="eastAsia" w:ascii="仿宋_GB2312" w:hAnsi="宋体" w:eastAsia="仿宋_GB2312"/>
          <w:sz w:val="32"/>
          <w:szCs w:val="32"/>
        </w:rPr>
        <w:t>2.交通运输（类）支出769.39万元，主要用于交通运输方面的支出。包括行政管理等方面的支出。较2019年决算增加203.79万元，增幅36.03%。主要原因是单位事业发展需要的各项支出增加。</w:t>
      </w:r>
    </w:p>
    <w:p>
      <w:pPr>
        <w:ind w:firstLine="640" w:firstLineChars="200"/>
        <w:rPr>
          <w:rFonts w:ascii="仿宋_GB2312" w:hAnsi="宋体" w:eastAsia="仿宋_GB2312"/>
          <w:sz w:val="32"/>
          <w:szCs w:val="32"/>
        </w:rPr>
      </w:pPr>
      <w:r>
        <w:rPr>
          <w:rFonts w:hint="eastAsia" w:ascii="仿宋_GB2312" w:hAnsi="宋体" w:eastAsia="仿宋_GB2312"/>
          <w:sz w:val="32"/>
          <w:szCs w:val="32"/>
        </w:rPr>
        <w:t>3.住房保障支出（类）96.84万元，主要用于按照国家政策规定为职工缴纳和发放的住房公积金、购房补贴等住房改革方面的支出。较2019年决算减少1.19万元，降幅1.21%，基本持平。</w:t>
      </w:r>
    </w:p>
    <w:p>
      <w:pPr>
        <w:ind w:firstLine="640" w:firstLineChars="200"/>
        <w:rPr>
          <w:rFonts w:ascii="仿宋_GB2312" w:hAnsi="宋体" w:eastAsia="仿宋_GB2312"/>
          <w:sz w:val="32"/>
          <w:szCs w:val="32"/>
        </w:rPr>
      </w:pPr>
      <w:r>
        <w:rPr>
          <w:rFonts w:hint="eastAsia" w:ascii="仿宋_GB2312" w:hAnsi="宋体" w:eastAsia="仿宋_GB2312"/>
          <w:sz w:val="32"/>
          <w:szCs w:val="32"/>
        </w:rPr>
        <w:t>二、关于收入决算情况说明</w:t>
      </w:r>
    </w:p>
    <w:p>
      <w:pPr>
        <w:ind w:firstLine="640" w:firstLineChars="200"/>
        <w:rPr>
          <w:rFonts w:ascii="仿宋_GB2312" w:hAnsi="宋体" w:eastAsia="仿宋_GB2312"/>
          <w:sz w:val="32"/>
          <w:szCs w:val="32"/>
        </w:rPr>
      </w:pPr>
      <w:r>
        <w:rPr>
          <w:rFonts w:hint="eastAsia" w:ascii="仿宋_GB2312" w:hAnsi="宋体" w:eastAsia="仿宋_GB2312"/>
          <w:sz w:val="32"/>
          <w:szCs w:val="32"/>
        </w:rPr>
        <w:t>浙江海事局后勤管理中心2020年度收入决算1206.31万元，其中：财政拨款收入560.62万元，占46.47%（当年拨款332.50万元，占27.56%；上年结转228.12万元，占18.91%）；其他收入645.69万元，占53.53%（当年取得的其他收入201.71万元，占16.72%。动用非财政拨款结余443.98万元，占36.81%）</w:t>
      </w:r>
    </w:p>
    <w:p>
      <w:pPr>
        <w:ind w:firstLine="640" w:firstLineChars="200"/>
        <w:rPr>
          <w:rFonts w:ascii="仿宋_GB2312" w:hAnsi="宋体" w:eastAsia="仿宋_GB2312"/>
          <w:sz w:val="32"/>
          <w:szCs w:val="32"/>
        </w:rPr>
      </w:pPr>
      <w:r>
        <w:rPr>
          <w:rFonts w:hint="eastAsia" w:ascii="仿宋_GB2312" w:hAnsi="宋体" w:eastAsia="仿宋_GB2312"/>
          <w:sz w:val="32"/>
          <w:szCs w:val="32"/>
        </w:rPr>
        <w:t>三、关于支出决算情况说明</w:t>
      </w:r>
    </w:p>
    <w:p>
      <w:pPr>
        <w:ind w:firstLine="640" w:firstLineChars="200"/>
        <w:rPr>
          <w:rFonts w:ascii="仿宋_GB2312" w:hAnsi="宋体" w:eastAsia="仿宋_GB2312"/>
          <w:sz w:val="32"/>
          <w:szCs w:val="32"/>
        </w:rPr>
      </w:pPr>
      <w:r>
        <w:rPr>
          <w:rFonts w:hint="eastAsia" w:ascii="仿宋_GB2312" w:hAnsi="宋体" w:eastAsia="仿宋_GB2312"/>
          <w:sz w:val="32"/>
          <w:szCs w:val="32"/>
        </w:rPr>
        <w:t>浙江海事局后勤管理中心2020年度支出决算1206.31万元，其中：基本支出1206.31万元，占100%。</w:t>
      </w:r>
    </w:p>
    <w:p>
      <w:pPr>
        <w:ind w:firstLine="640" w:firstLineChars="200"/>
        <w:rPr>
          <w:rFonts w:ascii="仿宋_GB2312" w:hAnsi="宋体" w:eastAsia="仿宋_GB2312"/>
          <w:sz w:val="32"/>
          <w:szCs w:val="32"/>
        </w:rPr>
      </w:pPr>
      <w:r>
        <w:rPr>
          <w:rFonts w:hint="eastAsia" w:ascii="仿宋_GB2312" w:hAnsi="宋体" w:eastAsia="仿宋_GB2312"/>
          <w:sz w:val="32"/>
          <w:szCs w:val="32"/>
        </w:rPr>
        <w:t>四、关于一般公共预算财政拨款支出决算情况说明</w:t>
      </w:r>
    </w:p>
    <w:p>
      <w:pPr>
        <w:ind w:firstLine="640" w:firstLineChars="200"/>
        <w:rPr>
          <w:rFonts w:ascii="仿宋_GB2312" w:hAnsi="宋体" w:eastAsia="仿宋_GB2312"/>
          <w:sz w:val="32"/>
          <w:szCs w:val="32"/>
        </w:rPr>
      </w:pPr>
      <w:r>
        <w:rPr>
          <w:rFonts w:hint="eastAsia" w:ascii="仿宋_GB2312" w:hAnsi="宋体" w:eastAsia="仿宋_GB2312"/>
          <w:sz w:val="32"/>
          <w:szCs w:val="32"/>
        </w:rPr>
        <w:t>浙江海事局后勤管理中心2020年度一般公共预算财政拨款支出决算反映财政拨款支出总体情况，主要是使用本年从中央财政取得的财政拨款发生的支出。</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（一）财政拨款支出决算变化情况。浙江海事局后勤管理中心2020年度财政拨款支出332.50万元，占本年支出总计的27.56%。支出比2019年减少了43.79万元，降幅11.55%。</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二）财政拨款支出决算构成情况。2020年浙江海事局后勤管理中心财政拨款用于以下方面：交通运输（类）支出769.39万元，占63.78%；社会保障和就业（类）支出340.08万元，占28.19%；住房保障支出（类）96.84万元，占8.03%。</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（三）财政拨款支出具体使用情况。</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1.社会保障和就业（类）</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（1）行政事业单位离退休（款）事业单位离退休（项）。2020年财政拨款支出10.00万元，完成2020年年初预算的100%。</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（2）行政事业单位离退休（款）机关事业单位基本养老保险缴费支出（项）。2020年财政拨款支出93.99万元，完成2020年年初预算的100%。</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（3）行政事业单位离退休（款）机关事业单位职业年金缴费支出（项）。2020年财政拨款支出57.93万元，完成2020年年初预算的100%。</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2.交通运输（类）</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（1）公路水路运输（款）其他公路水路运输支出（项）。2020年财政拨款支出307.28万元，完成2020年年初预算的100%。</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3.住房保障支出（类）</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（1）住房改革支出（款）住房公积金（项）。2020年财政拨款支出40.00万元，完成2020年年初预算的100%。</w:t>
      </w:r>
    </w:p>
    <w:p>
      <w:pPr>
        <w:ind w:firstLine="640" w:firstLineChars="200"/>
        <w:jc w:val="left"/>
        <w:rPr>
          <w:rFonts w:ascii="仿宋_GB2312" w:hAnsi="宋体" w:eastAsia="仿宋_GB2312"/>
          <w:color w:val="FF0000"/>
          <w:sz w:val="32"/>
          <w:szCs w:val="32"/>
        </w:rPr>
      </w:pPr>
      <w:r>
        <w:rPr>
          <w:rFonts w:hint="eastAsia" w:ascii="仿宋_GB2312" w:hAnsi="宋体" w:eastAsia="仿宋_GB2312"/>
          <w:sz w:val="32"/>
          <w:szCs w:val="32"/>
        </w:rPr>
        <w:t>（2）住房改革支出（款）购房补贴（项）。2020年财政拨款支出51.42万元，完成2020年年初预算的100%。</w:t>
      </w:r>
    </w:p>
    <w:p>
      <w:pPr>
        <w:ind w:firstLine="640" w:firstLineChars="200"/>
        <w:rPr>
          <w:rFonts w:ascii="仿宋_GB2312" w:hAnsi="宋体" w:eastAsia="仿宋_GB2312"/>
          <w:sz w:val="32"/>
          <w:szCs w:val="32"/>
        </w:rPr>
      </w:pPr>
      <w:r>
        <w:rPr>
          <w:rFonts w:hint="eastAsia" w:ascii="仿宋_GB2312" w:hAnsi="宋体" w:eastAsia="仿宋_GB2312"/>
          <w:sz w:val="32"/>
          <w:szCs w:val="32"/>
        </w:rPr>
        <w:t>五、关于一般公共预算财政拨款基本支出决算情况说明</w:t>
      </w:r>
    </w:p>
    <w:p>
      <w:pPr>
        <w:ind w:firstLine="640" w:firstLineChars="200"/>
        <w:rPr>
          <w:rFonts w:ascii="仿宋_GB2312" w:hAnsi="宋体" w:eastAsia="仿宋_GB2312"/>
          <w:sz w:val="32"/>
          <w:szCs w:val="32"/>
        </w:rPr>
      </w:pPr>
      <w:r>
        <w:rPr>
          <w:rFonts w:hint="eastAsia" w:ascii="仿宋_GB2312" w:hAnsi="宋体" w:eastAsia="仿宋_GB2312"/>
          <w:sz w:val="32"/>
          <w:szCs w:val="32"/>
        </w:rPr>
        <w:t>浙江海事局后勤管理中心2020年一般公共预算财政拨款基本支出560.62万元，其中：</w:t>
      </w:r>
    </w:p>
    <w:p>
      <w:pPr>
        <w:ind w:firstLine="640" w:firstLineChars="200"/>
        <w:rPr>
          <w:rFonts w:ascii="仿宋_GB2312" w:hAnsi="宋体" w:eastAsia="仿宋_GB2312"/>
          <w:color w:val="FF0000"/>
          <w:sz w:val="32"/>
          <w:szCs w:val="32"/>
        </w:rPr>
      </w:pPr>
      <w:r>
        <w:rPr>
          <w:rFonts w:hint="eastAsia" w:ascii="仿宋_GB2312" w:hAnsi="宋体" w:eastAsia="仿宋_GB2312"/>
          <w:sz w:val="32"/>
          <w:szCs w:val="32"/>
        </w:rPr>
        <w:t>人员经费503.12万元，主要包括：基本工资、津贴补贴、奖金、社会保障缴费、伙食补助费、绩效工资、机关事业单位基本养老保险缴费、其他工资福利支出、退休费、住房公积金、购房补贴、其他对个人和家庭的补助支出等。</w:t>
      </w:r>
    </w:p>
    <w:p>
      <w:pPr>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日常公用经费57.50万元，主要包括：办公费、印刷费、手续费、水费、电费、邮电费、物业管理费、差旅费、维修（护）费、会议费、培训费、专用材料费、委托业务费、工会经费、福利费、公务用车运行维护费、税金及附加费、其他商品和服务支出、办公设备购置、信息网络及软件购置更新、其他资本性支出。</w:t>
      </w:r>
    </w:p>
    <w:p>
      <w:pPr>
        <w:ind w:firstLine="640" w:firstLineChars="200"/>
        <w:rPr>
          <w:rFonts w:ascii="仿宋_GB2312" w:hAnsi="宋体" w:eastAsia="仿宋_GB2312"/>
          <w:sz w:val="32"/>
          <w:szCs w:val="32"/>
        </w:rPr>
      </w:pPr>
      <w:r>
        <w:rPr>
          <w:rFonts w:hint="eastAsia" w:ascii="仿宋_GB2312" w:hAnsi="宋体" w:eastAsia="仿宋_GB2312"/>
          <w:sz w:val="32"/>
          <w:szCs w:val="32"/>
        </w:rPr>
        <w:t>六、关于一般公共财政拨款“三公”经费支出决算情况说明</w:t>
      </w:r>
    </w:p>
    <w:p>
      <w:pPr>
        <w:ind w:firstLine="640" w:firstLineChars="200"/>
        <w:rPr>
          <w:rFonts w:ascii="仿宋_GB2312" w:hAnsi="宋体" w:eastAsia="仿宋_GB2312"/>
          <w:sz w:val="32"/>
          <w:szCs w:val="32"/>
        </w:rPr>
      </w:pPr>
      <w:r>
        <w:rPr>
          <w:rFonts w:hint="eastAsia" w:ascii="仿宋_GB2312" w:hAnsi="宋体" w:eastAsia="仿宋_GB2312"/>
          <w:sz w:val="32"/>
          <w:szCs w:val="32"/>
        </w:rPr>
        <w:t>2020年度，浙江海事局后勤管理中心一般公共预算财政拨款“三公”经费支出15.25万元，完成年初预算的100%。其中：公务用车运行费15.25万元，完成预算的100%。</w:t>
      </w:r>
    </w:p>
    <w:p>
      <w:pPr>
        <w:ind w:firstLine="640" w:firstLineChars="200"/>
        <w:rPr>
          <w:rFonts w:ascii="仿宋_GB2312" w:hAnsi="宋体" w:eastAsia="仿宋_GB2312"/>
          <w:sz w:val="32"/>
          <w:szCs w:val="32"/>
        </w:rPr>
      </w:pPr>
      <w:r>
        <w:rPr>
          <w:rFonts w:hint="eastAsia" w:ascii="仿宋_GB2312" w:hAnsi="宋体" w:eastAsia="仿宋_GB2312"/>
          <w:sz w:val="32"/>
          <w:szCs w:val="32"/>
        </w:rPr>
        <w:t>2020年一般公共预算财政拨款“三公”经费决算数较2019年决算数减少支出8.09万元，降幅34.66%。主要原因是公务用车运行维护费预算数降低。</w:t>
      </w:r>
    </w:p>
    <w:p>
      <w:pPr>
        <w:ind w:firstLine="640" w:firstLineChars="200"/>
        <w:rPr>
          <w:rFonts w:ascii="仿宋_GB2312" w:hAnsi="宋体" w:eastAsia="仿宋_GB2312"/>
          <w:sz w:val="32"/>
          <w:szCs w:val="32"/>
        </w:rPr>
      </w:pPr>
      <w:r>
        <w:rPr>
          <w:rFonts w:hint="eastAsia" w:ascii="仿宋_GB2312" w:hAnsi="宋体" w:eastAsia="仿宋_GB2312"/>
          <w:sz w:val="32"/>
          <w:szCs w:val="32"/>
        </w:rPr>
        <w:t>1.公务用车购置及运行费支出15.25万元。其中：</w:t>
      </w:r>
    </w:p>
    <w:p>
      <w:pPr>
        <w:ind w:firstLine="640" w:firstLineChars="200"/>
        <w:rPr>
          <w:rFonts w:ascii="仿宋_GB2312" w:hAnsi="宋体" w:eastAsia="仿宋_GB2312"/>
          <w:sz w:val="32"/>
          <w:szCs w:val="32"/>
        </w:rPr>
      </w:pPr>
      <w:r>
        <w:rPr>
          <w:rFonts w:hint="eastAsia" w:ascii="仿宋_GB2312" w:hAnsi="宋体" w:eastAsia="仿宋_GB2312"/>
          <w:sz w:val="32"/>
          <w:szCs w:val="32"/>
        </w:rPr>
        <w:t>公务用车运行费支出15.25万元。主要用于机要文件交换、市内公务活动及后勤业务用车所需车辆燃料费、维修费、过桥过路费、保险费等。2020年，浙江海事局后勤管理中心使用财政拨款支出的公务用车保有量为10辆，平均每辆运行费支出1.53万元。</w:t>
      </w:r>
    </w:p>
    <w:p>
      <w:pPr>
        <w:ind w:firstLine="640" w:firstLineChars="200"/>
        <w:rPr>
          <w:rFonts w:ascii="仿宋_GB2312" w:hAnsi="宋体" w:eastAsia="仿宋_GB2312"/>
          <w:sz w:val="32"/>
          <w:szCs w:val="32"/>
        </w:rPr>
      </w:pPr>
      <w:r>
        <w:rPr>
          <w:rFonts w:hint="eastAsia" w:ascii="仿宋_GB2312" w:hAnsi="宋体" w:eastAsia="仿宋_GB2312"/>
          <w:sz w:val="32"/>
          <w:szCs w:val="32"/>
        </w:rPr>
        <w:t>七、其他重要事项情况说明</w:t>
      </w:r>
    </w:p>
    <w:p>
      <w:pPr>
        <w:ind w:firstLine="640" w:firstLineChars="200"/>
        <w:rPr>
          <w:rFonts w:ascii="仿宋_GB2312" w:hAnsi="宋体" w:eastAsia="仿宋_GB2312"/>
          <w:sz w:val="32"/>
          <w:szCs w:val="32"/>
        </w:rPr>
      </w:pPr>
      <w:r>
        <w:rPr>
          <w:rFonts w:hint="eastAsia" w:ascii="仿宋_GB2312" w:hAnsi="宋体" w:eastAsia="仿宋_GB2312"/>
          <w:sz w:val="32"/>
          <w:szCs w:val="32"/>
        </w:rPr>
        <w:t>（一）政府采购支出</w:t>
      </w:r>
    </w:p>
    <w:p>
      <w:pPr>
        <w:ind w:firstLine="640" w:firstLineChars="200"/>
        <w:rPr>
          <w:rFonts w:ascii="仿宋_GB2312" w:hAnsi="宋体" w:eastAsia="仿宋_GB2312"/>
          <w:sz w:val="32"/>
          <w:szCs w:val="32"/>
        </w:rPr>
      </w:pPr>
      <w:r>
        <w:rPr>
          <w:rFonts w:hint="eastAsia" w:ascii="仿宋_GB2312" w:hAnsi="宋体" w:eastAsia="仿宋_GB2312"/>
          <w:sz w:val="32"/>
          <w:szCs w:val="32"/>
        </w:rPr>
        <w:t>2020年度浙江海事局后勤管理中心政府采购支出总额46.65万元，其中：政府采购工程支出46.65万元。授予中小企业合同金额0万元，占政府采购支出总额的0%。</w:t>
      </w:r>
    </w:p>
    <w:p>
      <w:pPr>
        <w:ind w:firstLine="640" w:firstLineChars="200"/>
        <w:rPr>
          <w:rFonts w:ascii="仿宋_GB2312" w:hAnsi="宋体" w:eastAsia="仿宋_GB2312"/>
          <w:sz w:val="32"/>
          <w:szCs w:val="32"/>
        </w:rPr>
      </w:pPr>
      <w:r>
        <w:rPr>
          <w:rFonts w:hint="eastAsia" w:ascii="仿宋_GB2312" w:hAnsi="宋体" w:eastAsia="仿宋_GB2312"/>
          <w:sz w:val="32"/>
          <w:szCs w:val="32"/>
        </w:rPr>
        <w:t>（二）国有资产占用情况</w:t>
      </w:r>
    </w:p>
    <w:p>
      <w:pPr>
        <w:ind w:firstLine="640" w:firstLineChars="200"/>
        <w:rPr>
          <w:rFonts w:ascii="仿宋_GB2312" w:hAnsi="宋体" w:eastAsia="仿宋_GB2312"/>
          <w:sz w:val="32"/>
          <w:szCs w:val="32"/>
        </w:rPr>
      </w:pPr>
      <w:r>
        <w:rPr>
          <w:rFonts w:hint="eastAsia" w:ascii="仿宋_GB2312" w:hAnsi="宋体" w:eastAsia="仿宋_GB2312"/>
          <w:sz w:val="32"/>
          <w:szCs w:val="32"/>
        </w:rPr>
        <w:t>截至2020年12月31日，浙江海事局后勤管理中心共有车辆10辆，其中，其他用车10辆。单位价值50万元以上通用设备0台（套）。</w:t>
      </w:r>
    </w:p>
    <w:p>
      <w:pPr>
        <w:ind w:firstLine="640" w:firstLineChars="200"/>
        <w:rPr>
          <w:rFonts w:ascii="仿宋_GB2312" w:hAnsi="宋体" w:eastAsia="仿宋_GB2312"/>
          <w:sz w:val="32"/>
          <w:szCs w:val="32"/>
        </w:rPr>
      </w:pPr>
      <w:r>
        <w:rPr>
          <w:rFonts w:hint="eastAsia" w:ascii="仿宋_GB2312" w:hAnsi="宋体" w:eastAsia="仿宋_GB2312"/>
          <w:sz w:val="32"/>
          <w:szCs w:val="32"/>
        </w:rPr>
        <w:t>（三）2020年度预算绩效情况说明</w:t>
      </w:r>
    </w:p>
    <w:p>
      <w:pPr>
        <w:ind w:firstLine="640" w:firstLineChars="200"/>
        <w:rPr>
          <w:rFonts w:ascii="仿宋_GB2312" w:hAnsi="宋体" w:eastAsia="仿宋_GB2312"/>
          <w:sz w:val="32"/>
          <w:szCs w:val="32"/>
        </w:rPr>
      </w:pPr>
      <w:r>
        <w:rPr>
          <w:rFonts w:hint="eastAsia" w:ascii="仿宋_GB2312" w:hAnsi="宋体" w:eastAsia="仿宋_GB2312"/>
          <w:sz w:val="32"/>
          <w:szCs w:val="32"/>
        </w:rPr>
        <w:t>2020年度浙江海事局后勤管理中心无项目，未开展预算绩效自评。</w:t>
      </w:r>
    </w:p>
    <w:p>
      <w:pPr>
        <w:ind w:firstLine="640" w:firstLineChars="200"/>
        <w:rPr>
          <w:rFonts w:ascii="仿宋_GB2312" w:hAnsi="宋体" w:eastAsia="仿宋_GB2312"/>
          <w:sz w:val="32"/>
          <w:szCs w:val="32"/>
        </w:rPr>
        <w:sectPr>
          <w:pgSz w:w="11906" w:h="16838"/>
          <w:pgMar w:top="1440" w:right="1800" w:bottom="1440" w:left="1800" w:header="851" w:footer="992" w:gutter="0"/>
          <w:cols w:space="425" w:num="1"/>
          <w:docGrid w:type="lines" w:linePitch="312" w:charSpace="0"/>
        </w:sectPr>
      </w:pPr>
    </w:p>
    <w:p>
      <w:pPr>
        <w:pStyle w:val="2"/>
        <w:rPr>
          <w:rFonts w:ascii="宋体" w:hAnsi="宋体"/>
          <w:sz w:val="36"/>
          <w:szCs w:val="32"/>
        </w:rPr>
      </w:pPr>
      <w:bookmarkStart w:id="13" w:name="_Toc536437214"/>
      <w:r>
        <w:rPr>
          <w:rFonts w:hint="eastAsia" w:ascii="宋体" w:hAnsi="宋体"/>
          <w:sz w:val="36"/>
          <w:szCs w:val="32"/>
        </w:rPr>
        <w:t>第四部分 名词解释</w:t>
      </w:r>
      <w:bookmarkEnd w:id="13"/>
    </w:p>
    <w:p>
      <w:pPr>
        <w:pStyle w:val="3"/>
        <w:ind w:firstLine="640" w:firstLineChars="200"/>
        <w:jc w:val="left"/>
        <w:rPr>
          <w:rFonts w:ascii="仿宋_GB2312" w:hAnsi="宋体" w:eastAsia="仿宋_GB2312"/>
        </w:rPr>
      </w:pPr>
      <w:bookmarkStart w:id="14" w:name="_Toc536437215"/>
      <w:r>
        <w:rPr>
          <w:rFonts w:hint="eastAsia" w:ascii="仿宋_GB2312" w:hAnsi="宋体" w:eastAsia="仿宋_GB2312"/>
        </w:rPr>
        <w:t>一、收入科目</w:t>
      </w:r>
      <w:bookmarkEnd w:id="14"/>
    </w:p>
    <w:p>
      <w:pPr>
        <w:ind w:firstLine="640" w:firstLineChars="200"/>
        <w:rPr>
          <w:rFonts w:ascii="仿宋_GB2312" w:hAnsi="宋体" w:eastAsia="仿宋_GB2312"/>
          <w:sz w:val="32"/>
          <w:szCs w:val="32"/>
        </w:rPr>
      </w:pPr>
      <w:r>
        <w:rPr>
          <w:rFonts w:hint="eastAsia" w:ascii="仿宋_GB2312" w:hAnsi="宋体" w:eastAsia="仿宋_GB2312"/>
          <w:sz w:val="32"/>
          <w:szCs w:val="32"/>
        </w:rPr>
        <w:t>（一）财政拨款收入：指中央财政当年拨付的资金。</w:t>
      </w:r>
    </w:p>
    <w:p>
      <w:pPr>
        <w:ind w:firstLine="640" w:firstLineChars="200"/>
        <w:rPr>
          <w:rFonts w:ascii="仿宋_GB2312" w:hAnsi="宋体" w:eastAsia="仿宋_GB2312"/>
          <w:sz w:val="32"/>
          <w:szCs w:val="32"/>
        </w:rPr>
      </w:pPr>
      <w:r>
        <w:rPr>
          <w:rFonts w:hint="eastAsia" w:ascii="仿宋_GB2312" w:hAnsi="宋体" w:eastAsia="仿宋_GB2312"/>
          <w:sz w:val="32"/>
          <w:szCs w:val="32"/>
        </w:rPr>
        <w:t>（二）事业收入：指事业单位开支专业业务活动及辅助活动所取得的收入。</w:t>
      </w:r>
    </w:p>
    <w:p>
      <w:pPr>
        <w:ind w:firstLine="640" w:firstLineChars="200"/>
        <w:rPr>
          <w:rFonts w:ascii="仿宋_GB2312" w:hAnsi="宋体" w:eastAsia="仿宋_GB2312"/>
          <w:sz w:val="32"/>
          <w:szCs w:val="32"/>
        </w:rPr>
      </w:pPr>
      <w:r>
        <w:rPr>
          <w:rFonts w:hint="eastAsia" w:ascii="仿宋_GB2312" w:hAnsi="宋体" w:eastAsia="仿宋_GB2312"/>
          <w:sz w:val="32"/>
          <w:szCs w:val="32"/>
        </w:rPr>
        <w:t>（三）经营收入：指事业单位在专业业务活动及辅助活动之外开支非独立核算经营活动所取得的收入。</w:t>
      </w:r>
    </w:p>
    <w:p>
      <w:pPr>
        <w:ind w:firstLine="640" w:firstLineChars="200"/>
        <w:rPr>
          <w:rFonts w:ascii="仿宋_GB2312" w:hAnsi="宋体" w:eastAsia="仿宋_GB2312"/>
          <w:sz w:val="32"/>
          <w:szCs w:val="32"/>
        </w:rPr>
      </w:pPr>
      <w:r>
        <w:rPr>
          <w:rFonts w:hint="eastAsia" w:ascii="仿宋_GB2312" w:hAnsi="宋体" w:eastAsia="仿宋_GB2312"/>
          <w:sz w:val="32"/>
          <w:szCs w:val="32"/>
        </w:rPr>
        <w:t>（四）附属单位上缴收入：指事业单位附属独立核算单位按照有关规定上缴的收入。</w:t>
      </w:r>
    </w:p>
    <w:p>
      <w:pPr>
        <w:ind w:firstLine="640" w:firstLineChars="200"/>
        <w:rPr>
          <w:rFonts w:ascii="仿宋_GB2312" w:hAnsi="宋体" w:eastAsia="仿宋_GB2312"/>
          <w:sz w:val="32"/>
          <w:szCs w:val="32"/>
        </w:rPr>
      </w:pPr>
      <w:r>
        <w:rPr>
          <w:rFonts w:hint="eastAsia" w:ascii="仿宋_GB2312" w:hAnsi="宋体" w:eastAsia="仿宋_GB2312"/>
          <w:sz w:val="32"/>
          <w:szCs w:val="32"/>
        </w:rPr>
        <w:t>（五）其他收入：指除上述“财政拨款”、“事业收入”、“事业单位经营收入”、“附属单位上缴收入”等以外的收入。</w:t>
      </w:r>
    </w:p>
    <w:p>
      <w:pPr>
        <w:ind w:firstLine="640" w:firstLineChars="200"/>
        <w:rPr>
          <w:rFonts w:ascii="仿宋_GB2312" w:hAnsi="宋体" w:eastAsia="仿宋_GB2312"/>
          <w:sz w:val="32"/>
          <w:szCs w:val="32"/>
        </w:rPr>
      </w:pPr>
      <w:r>
        <w:rPr>
          <w:rFonts w:hint="eastAsia" w:ascii="仿宋_GB2312" w:hAnsi="宋体" w:eastAsia="仿宋_GB2312"/>
          <w:sz w:val="32"/>
          <w:szCs w:val="32"/>
        </w:rPr>
        <w:t>（六）用事业基金弥补收支差额：指事业单位在当年的“财政拨款”、“事业收入”、“经营收入”、“其他收入”等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ascii="仿宋_GB2312" w:hAnsi="宋体" w:eastAsia="仿宋_GB2312"/>
          <w:sz w:val="32"/>
          <w:szCs w:val="32"/>
        </w:rPr>
      </w:pPr>
      <w:r>
        <w:rPr>
          <w:rFonts w:hint="eastAsia" w:ascii="仿宋_GB2312" w:hAnsi="宋体" w:eastAsia="仿宋_GB2312"/>
          <w:sz w:val="32"/>
          <w:szCs w:val="32"/>
        </w:rPr>
        <w:t>（七）上年结转和结余：指以前年度尚未完成、结转到本年仍按原规定用途继续使用的资金和支出预算工作目标已完成，或由于受政策变化、计划调整等因素影响工作终止，当年剩余的资金。</w:t>
      </w:r>
    </w:p>
    <w:p>
      <w:pPr>
        <w:pStyle w:val="3"/>
        <w:ind w:firstLine="640" w:firstLineChars="200"/>
        <w:jc w:val="left"/>
        <w:rPr>
          <w:rFonts w:ascii="仿宋_GB2312" w:hAnsi="宋体" w:eastAsia="仿宋_GB2312"/>
        </w:rPr>
      </w:pPr>
      <w:bookmarkStart w:id="15" w:name="_Toc536437216"/>
      <w:r>
        <w:rPr>
          <w:rFonts w:hint="eastAsia" w:ascii="仿宋_GB2312" w:hAnsi="宋体" w:eastAsia="仿宋_GB2312"/>
        </w:rPr>
        <w:t>二、支出科目</w:t>
      </w:r>
      <w:bookmarkEnd w:id="15"/>
    </w:p>
    <w:p>
      <w:pPr>
        <w:ind w:firstLine="640" w:firstLineChars="200"/>
        <w:rPr>
          <w:rFonts w:ascii="仿宋_GB2312" w:hAnsi="宋体" w:eastAsia="仿宋_GB2312"/>
          <w:sz w:val="32"/>
          <w:szCs w:val="32"/>
        </w:rPr>
      </w:pPr>
      <w:r>
        <w:rPr>
          <w:rFonts w:hint="eastAsia" w:ascii="仿宋_GB2312" w:hAnsi="宋体" w:eastAsia="仿宋_GB2312"/>
          <w:sz w:val="32"/>
          <w:szCs w:val="32"/>
        </w:rPr>
        <w:t>（八）社会保障和就业（类）行政事业单位离退休（款）：</w:t>
      </w:r>
    </w:p>
    <w:p>
      <w:pPr>
        <w:ind w:firstLine="640" w:firstLineChars="200"/>
        <w:rPr>
          <w:rFonts w:ascii="仿宋_GB2312" w:hAnsi="宋体" w:eastAsia="仿宋_GB2312"/>
          <w:sz w:val="32"/>
          <w:szCs w:val="32"/>
        </w:rPr>
      </w:pPr>
      <w:r>
        <w:rPr>
          <w:rFonts w:hint="eastAsia" w:ascii="仿宋_GB2312" w:hAnsi="宋体" w:eastAsia="仿宋_GB2312"/>
          <w:sz w:val="32"/>
          <w:szCs w:val="32"/>
        </w:rPr>
        <w:t>1.事业单位离退休（项）：指用于事业单位离退休方面的支出。</w:t>
      </w:r>
    </w:p>
    <w:p>
      <w:pPr>
        <w:ind w:firstLine="640" w:firstLineChars="200"/>
        <w:rPr>
          <w:rFonts w:ascii="仿宋_GB2312" w:hAnsi="宋体" w:eastAsia="仿宋_GB2312"/>
          <w:sz w:val="32"/>
          <w:szCs w:val="32"/>
        </w:rPr>
      </w:pPr>
      <w:r>
        <w:rPr>
          <w:rFonts w:hint="eastAsia" w:ascii="仿宋_GB2312" w:hAnsi="宋体" w:eastAsia="仿宋_GB2312"/>
          <w:sz w:val="32"/>
          <w:szCs w:val="32"/>
        </w:rPr>
        <w:t>（九）交通运输（类）公路水路运输（款）：</w:t>
      </w:r>
    </w:p>
    <w:p>
      <w:pPr>
        <w:ind w:firstLine="640" w:firstLineChars="200"/>
        <w:rPr>
          <w:rFonts w:ascii="仿宋_GB2312" w:hAnsi="宋体" w:eastAsia="仿宋_GB2312"/>
          <w:sz w:val="32"/>
          <w:szCs w:val="32"/>
        </w:rPr>
      </w:pPr>
      <w:r>
        <w:rPr>
          <w:rFonts w:hint="eastAsia" w:ascii="仿宋_GB2312" w:hAnsi="宋体" w:eastAsia="仿宋_GB2312"/>
          <w:sz w:val="32"/>
          <w:szCs w:val="32"/>
        </w:rPr>
        <w:t>1.其他公路水路运输支出（项）：指除一般项目之外的用于其他公路水路运输事务的支出</w:t>
      </w:r>
    </w:p>
    <w:p>
      <w:pPr>
        <w:ind w:firstLine="640" w:firstLineChars="200"/>
        <w:rPr>
          <w:rFonts w:ascii="仿宋_GB2312" w:hAnsi="宋体" w:eastAsia="仿宋_GB2312"/>
          <w:sz w:val="32"/>
          <w:szCs w:val="32"/>
        </w:rPr>
      </w:pPr>
      <w:r>
        <w:rPr>
          <w:rFonts w:hint="eastAsia" w:ascii="仿宋_GB2312" w:hAnsi="宋体" w:eastAsia="仿宋_GB2312"/>
          <w:sz w:val="32"/>
          <w:szCs w:val="32"/>
        </w:rPr>
        <w:t>（十）住房保障（类）住房改革（款）：</w:t>
      </w:r>
    </w:p>
    <w:p>
      <w:pPr>
        <w:ind w:firstLine="640" w:firstLineChars="200"/>
        <w:rPr>
          <w:rFonts w:ascii="仿宋_GB2312" w:hAnsi="宋体" w:eastAsia="仿宋_GB2312"/>
          <w:sz w:val="32"/>
          <w:szCs w:val="32"/>
        </w:rPr>
      </w:pPr>
      <w:r>
        <w:rPr>
          <w:rFonts w:hint="eastAsia" w:ascii="仿宋_GB2312" w:hAnsi="宋体" w:eastAsia="仿宋_GB2312"/>
          <w:sz w:val="32"/>
          <w:szCs w:val="32"/>
        </w:rPr>
        <w:t>1.住房公积金（项）：反映行政事业单位按人力资源和社会保障部、财政部规定的基本工资和津贴补贴以及规定比例为职工缴纳的住房公积金。</w:t>
      </w:r>
    </w:p>
    <w:p>
      <w:pPr>
        <w:ind w:firstLine="640" w:firstLineChars="200"/>
        <w:rPr>
          <w:rFonts w:ascii="仿宋_GB2312" w:hAnsi="宋体" w:eastAsia="仿宋_GB2312"/>
          <w:sz w:val="32"/>
          <w:szCs w:val="32"/>
        </w:rPr>
      </w:pPr>
      <w:r>
        <w:rPr>
          <w:rFonts w:hint="eastAsia" w:ascii="仿宋_GB2312" w:hAnsi="宋体" w:eastAsia="仿宋_GB2312"/>
          <w:sz w:val="32"/>
          <w:szCs w:val="32"/>
        </w:rPr>
        <w:t>2.购房补贴（项）：反映按房改政策规定，行政事业单位向符合条件职工（含离退休人员）、军队（含武警）、转役复原 人员发放的用于购买住房的补贴。</w:t>
      </w:r>
    </w:p>
    <w:p>
      <w:pPr>
        <w:ind w:firstLine="640" w:firstLineChars="200"/>
        <w:rPr>
          <w:rFonts w:ascii="仿宋_GB2312" w:hAnsi="宋体" w:eastAsia="仿宋_GB2312"/>
          <w:sz w:val="32"/>
          <w:szCs w:val="32"/>
        </w:rPr>
      </w:pPr>
      <w:r>
        <w:rPr>
          <w:rFonts w:hint="eastAsia" w:ascii="仿宋_GB2312" w:hAnsi="宋体" w:eastAsia="仿宋_GB2312"/>
          <w:sz w:val="32"/>
          <w:szCs w:val="32"/>
        </w:rPr>
        <w:t>（十一） “三公”经费：纳入中央财政预决算管理的“三公”经费，是指中央部门使用财政拨款安排的因公出国（境）费、公务用车购置运行费和公务接待费。其中，因公出国（境）费指单位公务出国（境）的住宿费、旅费、伙食补助费、杂费、培训费等支出；公务用车购置运行费指单位公务用车购置费及租用费、燃料费、维修费、过路过桥费、保险费、安全奖励费用等支出；公务接待费指单位按规定开支的各类接待（含外宾接待）支出。</w:t>
      </w:r>
    </w:p>
    <w:p>
      <w:pPr>
        <w:ind w:firstLine="640" w:firstLineChars="200"/>
        <w:rPr>
          <w:rFonts w:ascii="仿宋_GB2312" w:hAnsi="宋体" w:eastAsia="仿宋_GB2312"/>
          <w:sz w:val="32"/>
          <w:szCs w:val="32"/>
        </w:rPr>
      </w:pPr>
      <w:r>
        <w:rPr>
          <w:rFonts w:hint="eastAsia" w:ascii="仿宋_GB2312" w:hAnsi="宋体" w:eastAsia="仿宋_GB2312"/>
          <w:sz w:val="32"/>
          <w:szCs w:val="32"/>
        </w:rPr>
        <w:t>（十二）结转下年：指以前年度预算安排、因客观条件发生变化无法按原计划实施，需延迟到以后年度按原规定用途继续使用的资金。</w:t>
      </w:r>
    </w:p>
    <w:p>
      <w:pPr>
        <w:ind w:firstLine="640" w:firstLineChars="200"/>
        <w:rPr>
          <w:rFonts w:ascii="仿宋_GB2312" w:hAnsi="宋体" w:eastAsia="仿宋_GB2312"/>
          <w:sz w:val="32"/>
          <w:szCs w:val="32"/>
        </w:rPr>
      </w:pPr>
      <w:r>
        <w:rPr>
          <w:rFonts w:hint="eastAsia" w:ascii="仿宋_GB2312" w:hAnsi="宋体" w:eastAsia="仿宋_GB2312"/>
          <w:sz w:val="32"/>
          <w:szCs w:val="32"/>
        </w:rPr>
        <w:t>（十三）基本支出：指为保障机构正常运转、完成日常工作任务而发生的人员支出和公用支出。</w:t>
      </w:r>
    </w:p>
    <w:p>
      <w:pPr>
        <w:ind w:firstLine="640" w:firstLineChars="200"/>
        <w:rPr>
          <w:rFonts w:ascii="仿宋_GB2312" w:hAnsi="宋体" w:eastAsia="仿宋_GB2312"/>
          <w:sz w:val="32"/>
          <w:szCs w:val="32"/>
        </w:rPr>
      </w:pPr>
      <w:r>
        <w:rPr>
          <w:rFonts w:hint="eastAsia" w:ascii="仿宋_GB2312" w:hAnsi="宋体" w:eastAsia="仿宋_GB2312"/>
          <w:sz w:val="32"/>
          <w:szCs w:val="32"/>
        </w:rPr>
        <w:t>（十四）项目支出：指在基本支出之外为完成特定行政任务和事业发展目标所发生的支出。</w:t>
      </w:r>
    </w:p>
    <w:p>
      <w:pPr>
        <w:ind w:firstLine="640" w:firstLineChars="200"/>
        <w:rPr>
          <w:rFonts w:ascii="仿宋_GB2312" w:hAnsi="宋体" w:eastAsia="仿宋_GB2312"/>
          <w:sz w:val="32"/>
          <w:szCs w:val="32"/>
        </w:rPr>
      </w:pPr>
      <w:r>
        <w:rPr>
          <w:rFonts w:hint="eastAsia" w:ascii="仿宋_GB2312" w:hAnsi="宋体" w:eastAsia="仿宋_GB2312"/>
          <w:sz w:val="32"/>
          <w:szCs w:val="32"/>
        </w:rPr>
        <w:t>（十五）经营支出：指事业单位在专业业务及其辅助活动之外开支非独立核算经营活动发生的支出。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20</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E4D16"/>
    <w:rsid w:val="000175BA"/>
    <w:rsid w:val="00032DD4"/>
    <w:rsid w:val="00055CC2"/>
    <w:rsid w:val="00071E8B"/>
    <w:rsid w:val="00073DF7"/>
    <w:rsid w:val="000755E3"/>
    <w:rsid w:val="00077DF4"/>
    <w:rsid w:val="000851D1"/>
    <w:rsid w:val="000948C5"/>
    <w:rsid w:val="00160E7A"/>
    <w:rsid w:val="00166CC3"/>
    <w:rsid w:val="001928FE"/>
    <w:rsid w:val="00194A51"/>
    <w:rsid w:val="001C0D8D"/>
    <w:rsid w:val="001D7E16"/>
    <w:rsid w:val="001F410F"/>
    <w:rsid w:val="00202BFE"/>
    <w:rsid w:val="002129C9"/>
    <w:rsid w:val="00252FBE"/>
    <w:rsid w:val="00261619"/>
    <w:rsid w:val="00281A1B"/>
    <w:rsid w:val="002D6EC6"/>
    <w:rsid w:val="00303C43"/>
    <w:rsid w:val="003149EB"/>
    <w:rsid w:val="003351B8"/>
    <w:rsid w:val="00366429"/>
    <w:rsid w:val="0037206A"/>
    <w:rsid w:val="00385E4F"/>
    <w:rsid w:val="003A3E41"/>
    <w:rsid w:val="003B147E"/>
    <w:rsid w:val="003B3C6A"/>
    <w:rsid w:val="003C1609"/>
    <w:rsid w:val="003F282D"/>
    <w:rsid w:val="00407D2D"/>
    <w:rsid w:val="0044147A"/>
    <w:rsid w:val="00465E73"/>
    <w:rsid w:val="00475776"/>
    <w:rsid w:val="00487749"/>
    <w:rsid w:val="004E5290"/>
    <w:rsid w:val="004F4417"/>
    <w:rsid w:val="004F601C"/>
    <w:rsid w:val="004F74B2"/>
    <w:rsid w:val="00514733"/>
    <w:rsid w:val="005245E2"/>
    <w:rsid w:val="00556C1A"/>
    <w:rsid w:val="005770FE"/>
    <w:rsid w:val="005B433C"/>
    <w:rsid w:val="005E4D16"/>
    <w:rsid w:val="0062085C"/>
    <w:rsid w:val="0062648C"/>
    <w:rsid w:val="00643835"/>
    <w:rsid w:val="00657F41"/>
    <w:rsid w:val="00661C2D"/>
    <w:rsid w:val="006E07A7"/>
    <w:rsid w:val="00700D09"/>
    <w:rsid w:val="007022A9"/>
    <w:rsid w:val="00707D02"/>
    <w:rsid w:val="00745968"/>
    <w:rsid w:val="007506A9"/>
    <w:rsid w:val="007647EB"/>
    <w:rsid w:val="00772380"/>
    <w:rsid w:val="007747E5"/>
    <w:rsid w:val="00776253"/>
    <w:rsid w:val="007A46F2"/>
    <w:rsid w:val="00815324"/>
    <w:rsid w:val="0086684C"/>
    <w:rsid w:val="00880C23"/>
    <w:rsid w:val="0089665C"/>
    <w:rsid w:val="00896DC8"/>
    <w:rsid w:val="008A22F7"/>
    <w:rsid w:val="008D4B27"/>
    <w:rsid w:val="008F0ECB"/>
    <w:rsid w:val="0090464A"/>
    <w:rsid w:val="00922864"/>
    <w:rsid w:val="00934663"/>
    <w:rsid w:val="0097247F"/>
    <w:rsid w:val="0098633C"/>
    <w:rsid w:val="009869CB"/>
    <w:rsid w:val="009E2B47"/>
    <w:rsid w:val="009E7965"/>
    <w:rsid w:val="00A5461D"/>
    <w:rsid w:val="00A63F75"/>
    <w:rsid w:val="00AA649C"/>
    <w:rsid w:val="00AB4C35"/>
    <w:rsid w:val="00AC34D6"/>
    <w:rsid w:val="00B03C3B"/>
    <w:rsid w:val="00B44328"/>
    <w:rsid w:val="00B63878"/>
    <w:rsid w:val="00BA06F5"/>
    <w:rsid w:val="00BB5ADA"/>
    <w:rsid w:val="00BE73B7"/>
    <w:rsid w:val="00C02556"/>
    <w:rsid w:val="00C20D19"/>
    <w:rsid w:val="00C24FEE"/>
    <w:rsid w:val="00C30249"/>
    <w:rsid w:val="00C3099B"/>
    <w:rsid w:val="00C502FC"/>
    <w:rsid w:val="00C525A4"/>
    <w:rsid w:val="00C61004"/>
    <w:rsid w:val="00C85E32"/>
    <w:rsid w:val="00CA380C"/>
    <w:rsid w:val="00CB6AED"/>
    <w:rsid w:val="00CC076A"/>
    <w:rsid w:val="00CC175C"/>
    <w:rsid w:val="00CD39FF"/>
    <w:rsid w:val="00CE3A74"/>
    <w:rsid w:val="00CE7095"/>
    <w:rsid w:val="00D47D37"/>
    <w:rsid w:val="00D66021"/>
    <w:rsid w:val="00DC05A6"/>
    <w:rsid w:val="00E62364"/>
    <w:rsid w:val="00E93E4F"/>
    <w:rsid w:val="00ED7642"/>
    <w:rsid w:val="00EE12FE"/>
    <w:rsid w:val="00EE29F3"/>
    <w:rsid w:val="00EE7912"/>
    <w:rsid w:val="00F67DE1"/>
    <w:rsid w:val="00F90EFB"/>
    <w:rsid w:val="00FD5A8A"/>
    <w:rsid w:val="00FE1AC2"/>
    <w:rsid w:val="0160424A"/>
    <w:rsid w:val="136E35B7"/>
    <w:rsid w:val="50CA7F33"/>
    <w:rsid w:val="71495E98"/>
    <w:rsid w:val="7D860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5"/>
    <w:qFormat/>
    <w:uiPriority w:val="0"/>
    <w:pPr>
      <w:keepNext/>
      <w:keepLines/>
      <w:spacing w:before="340" w:after="330" w:line="576" w:lineRule="auto"/>
      <w:outlineLvl w:val="0"/>
    </w:pPr>
    <w:rPr>
      <w:rFonts w:cs="宋体"/>
      <w:b/>
      <w:bCs/>
      <w:kern w:val="44"/>
      <w:sz w:val="28"/>
      <w:szCs w:val="28"/>
    </w:rPr>
  </w:style>
  <w:style w:type="paragraph" w:styleId="3">
    <w:name w:val="heading 2"/>
    <w:basedOn w:val="1"/>
    <w:next w:val="1"/>
    <w:link w:val="16"/>
    <w:qFormat/>
    <w:uiPriority w:val="0"/>
    <w:pPr>
      <w:keepNext/>
      <w:keepLines/>
      <w:spacing w:before="260" w:after="260" w:line="413" w:lineRule="auto"/>
      <w:jc w:val="center"/>
      <w:outlineLvl w:val="1"/>
    </w:pPr>
    <w:rPr>
      <w:rFonts w:ascii="Arial" w:hAnsi="Arial" w:eastAsia="黑体" w:cs="黑体"/>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20"/>
    <w:unhideWhenUsed/>
    <w:uiPriority w:val="99"/>
    <w:rPr>
      <w:rFonts w:cs="宋体"/>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uiPriority w:val="39"/>
    <w:rPr>
      <w:rFonts w:cs="宋体"/>
      <w:szCs w:val="21"/>
    </w:rPr>
  </w:style>
  <w:style w:type="paragraph" w:styleId="8">
    <w:name w:val="toc 2"/>
    <w:basedOn w:val="1"/>
    <w:next w:val="1"/>
    <w:uiPriority w:val="39"/>
    <w:pPr>
      <w:ind w:left="420" w:leftChars="200"/>
    </w:pPr>
    <w:rPr>
      <w:rFonts w:cs="宋体"/>
      <w:szCs w:val="21"/>
    </w:rPr>
  </w:style>
  <w:style w:type="character" w:styleId="11">
    <w:name w:val="Hyperlink"/>
    <w:basedOn w:val="10"/>
    <w:unhideWhenUsed/>
    <w:uiPriority w:val="99"/>
    <w:rPr>
      <w:color w:val="0563C1"/>
      <w:u w:val="single"/>
    </w:rPr>
  </w:style>
  <w:style w:type="character" w:customStyle="1" w:styleId="12">
    <w:name w:val="页眉 Char"/>
    <w:basedOn w:val="10"/>
    <w:link w:val="6"/>
    <w:qFormat/>
    <w:uiPriority w:val="0"/>
    <w:rPr>
      <w:sz w:val="18"/>
      <w:szCs w:val="18"/>
    </w:rPr>
  </w:style>
  <w:style w:type="character" w:customStyle="1" w:styleId="13">
    <w:name w:val="页脚 Char"/>
    <w:basedOn w:val="10"/>
    <w:link w:val="5"/>
    <w:uiPriority w:val="99"/>
    <w:rPr>
      <w:sz w:val="18"/>
      <w:szCs w:val="18"/>
    </w:rPr>
  </w:style>
  <w:style w:type="paragraph" w:customStyle="1" w:styleId="14">
    <w:name w:val="Defaul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15">
    <w:name w:val="标题 1 Char"/>
    <w:basedOn w:val="10"/>
    <w:link w:val="2"/>
    <w:uiPriority w:val="0"/>
    <w:rPr>
      <w:rFonts w:ascii="Calibri" w:hAnsi="Calibri" w:eastAsia="宋体" w:cs="宋体"/>
      <w:b/>
      <w:bCs/>
      <w:kern w:val="44"/>
      <w:sz w:val="28"/>
      <w:szCs w:val="28"/>
    </w:rPr>
  </w:style>
  <w:style w:type="character" w:customStyle="1" w:styleId="16">
    <w:name w:val="标题 2 Char"/>
    <w:basedOn w:val="10"/>
    <w:link w:val="3"/>
    <w:uiPriority w:val="0"/>
    <w:rPr>
      <w:rFonts w:ascii="Arial" w:hAnsi="Arial" w:eastAsia="黑体" w:cs="黑体"/>
      <w:sz w:val="32"/>
      <w:szCs w:val="32"/>
    </w:rPr>
  </w:style>
  <w:style w:type="character" w:customStyle="1" w:styleId="17">
    <w:name w:val="页码1"/>
    <w:basedOn w:val="10"/>
    <w:qFormat/>
    <w:uiPriority w:val="0"/>
  </w:style>
  <w:style w:type="character" w:customStyle="1" w:styleId="18">
    <w:name w:val="font51"/>
    <w:basedOn w:val="10"/>
    <w:uiPriority w:val="0"/>
    <w:rPr>
      <w:rFonts w:ascii="宋体" w:cs="宋体"/>
      <w:color w:val="000000"/>
      <w:sz w:val="18"/>
      <w:szCs w:val="18"/>
    </w:rPr>
  </w:style>
  <w:style w:type="character" w:customStyle="1" w:styleId="19">
    <w:name w:val="font31"/>
    <w:basedOn w:val="10"/>
    <w:uiPriority w:val="0"/>
    <w:rPr>
      <w:rFonts w:ascii="宋体" w:cs="宋体"/>
      <w:b/>
      <w:bCs/>
      <w:color w:val="000000"/>
      <w:sz w:val="18"/>
      <w:szCs w:val="18"/>
    </w:rPr>
  </w:style>
  <w:style w:type="character" w:customStyle="1" w:styleId="20">
    <w:name w:val="批注框文本 Char"/>
    <w:basedOn w:val="10"/>
    <w:link w:val="4"/>
    <w:qFormat/>
    <w:uiPriority w:val="99"/>
    <w:rPr>
      <w:rFonts w:ascii="Calibri" w:hAnsi="Calibri" w:eastAsia="宋体" w:cs="宋体"/>
      <w:sz w:val="18"/>
      <w:szCs w:val="18"/>
    </w:rPr>
  </w:style>
  <w:style w:type="paragraph" w:styleId="21">
    <w:name w:val="List Paragraph"/>
    <w:basedOn w:val="1"/>
    <w:qFormat/>
    <w:uiPriority w:val="34"/>
    <w:pPr>
      <w:ind w:firstLine="420" w:firstLineChars="200"/>
    </w:pPr>
    <w:rPr>
      <w:rFonts w:cs="宋体"/>
      <w:szCs w:val="21"/>
    </w:rPr>
  </w:style>
  <w:style w:type="paragraph" w:customStyle="1" w:styleId="22">
    <w:name w:val="TOC Heading"/>
    <w:basedOn w:val="2"/>
    <w:next w:val="1"/>
    <w:semiHidden/>
    <w:unhideWhenUsed/>
    <w:qFormat/>
    <w:uiPriority w:val="39"/>
    <w:pPr>
      <w:widowControl/>
      <w:spacing w:before="480" w:after="0" w:line="276" w:lineRule="auto"/>
      <w:jc w:val="left"/>
      <w:outlineLvl w:val="9"/>
    </w:pPr>
    <w:rPr>
      <w:rFonts w:ascii="Calibri Light" w:hAnsi="Calibri Light" w:cs="Times New Roman"/>
      <w:color w:val="2E74B5"/>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1485</Words>
  <Characters>8468</Characters>
  <Lines>70</Lines>
  <Paragraphs>19</Paragraphs>
  <TotalTime>1606</TotalTime>
  <ScaleCrop>false</ScaleCrop>
  <LinksUpToDate>false</LinksUpToDate>
  <CharactersWithSpaces>9934</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2019-06-11T01:31:00Z</dcterms:created>
  <dc:creator>吕恩</dc:creator>
  <cp:lastModifiedBy>Administrator</cp:lastModifiedBy>
  <dcterms:modified xsi:type="dcterms:W3CDTF">2022-09-16T01:17:59Z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