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6"/>
        </w:rPr>
      </w:pPr>
    </w:p>
    <w:p>
      <w:pPr>
        <w:rPr>
          <w:rFonts w:ascii="宋体" w:hAnsi="宋体"/>
          <w:b/>
          <w:sz w:val="36"/>
        </w:rPr>
      </w:pPr>
    </w:p>
    <w:p>
      <w:pPr>
        <w:rPr>
          <w:rFonts w:ascii="宋体" w:hAnsi="宋体"/>
          <w:b/>
          <w:sz w:val="36"/>
        </w:rPr>
      </w:pPr>
    </w:p>
    <w:p>
      <w:pPr>
        <w:rPr>
          <w:rFonts w:ascii="宋体" w:hAnsi="宋体"/>
          <w:b/>
          <w:sz w:val="36"/>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浙江海事局后勤管理中心</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2019年度部门决算</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sz w:val="32"/>
          <w:szCs w:val="32"/>
        </w:rPr>
      </w:pPr>
      <w:r>
        <w:rPr>
          <w:rFonts w:hint="eastAsia" w:ascii="仿宋_GB2312" w:eastAsia="仿宋_GB2312"/>
          <w:sz w:val="32"/>
          <w:szCs w:val="32"/>
        </w:rPr>
        <w:t>二O二O年七月</w:t>
      </w:r>
    </w:p>
    <w:p>
      <w:pPr>
        <w:rPr>
          <w:rFonts w:ascii="仿宋_GB2312" w:eastAsia="仿宋_GB2312"/>
        </w:rPr>
      </w:pPr>
    </w:p>
    <w:p>
      <w:pPr>
        <w:rPr>
          <w:rFonts w:ascii="仿宋_GB2312" w:eastAsia="仿宋_GB2312"/>
        </w:rPr>
      </w:pPr>
    </w:p>
    <w:p>
      <w:pPr>
        <w:rPr>
          <w:rFonts w:ascii="宋体" w:hAnsi="宋体"/>
          <w:b/>
          <w:sz w:val="36"/>
          <w:szCs w:val="32"/>
        </w:rPr>
        <w:sectPr>
          <w:pgSz w:w="11906" w:h="16838"/>
          <w:pgMar w:top="1440" w:right="1800" w:bottom="1440" w:left="1800" w:header="851" w:footer="992" w:gutter="0"/>
          <w:cols w:space="425" w:num="1"/>
          <w:docGrid w:type="lines" w:linePitch="312" w:charSpace="0"/>
        </w:sectPr>
      </w:pPr>
    </w:p>
    <w:p>
      <w:pPr>
        <w:pStyle w:val="22"/>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themeColor="text1"/>
          <w:sz w:val="40"/>
          <w:lang w:val="zh-CN"/>
        </w:rPr>
      </w:pPr>
      <w:r>
        <w:rPr>
          <w:rFonts w:hint="eastAsia" w:ascii="方正小标宋简体" w:hAnsi="方正小标宋简体" w:eastAsia="方正小标宋简体" w:cs="方正小标宋简体"/>
          <w:b w:val="0"/>
          <w:bCs w:val="0"/>
          <w:color w:val="000000" w:themeColor="text1"/>
          <w:sz w:val="40"/>
          <w:lang w:val="zh-CN"/>
        </w:rPr>
        <w:t>目     录</w:t>
      </w:r>
    </w:p>
    <w:p>
      <w:pPr>
        <w:rPr>
          <w:rFonts w:hint="eastAsia"/>
        </w:rPr>
      </w:pPr>
    </w:p>
    <w:p>
      <w:pPr>
        <w:pStyle w:val="7"/>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TOC \o "1-3" \h \z \u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"_Toc46157791"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第一部分 单位概况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"_Toc46157792"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一、主要职能</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"_Toc46157793"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二、机构设置</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7"/>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"_Toc46157794"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第二部分 2019年部门决算表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"_Toc46157795"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一、收入支出决算总表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"_Toc46157796"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二、收入决算表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"_Toc46157797"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三、支出决算表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"_Toc46157798"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四、财政拨款收入支出决算总表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"_Toc46157799"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五、一般公共预算财政拨款支出决算表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_Toc46157799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"_Toc46157800"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六、一般公共预算财政拨款基本支出决算表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"_Toc46157801"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七、一般公共预算财政拨款“三公”经费支出决算表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"_Toc46157802"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八、政府性基金预算财政拨款收入支出决算表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7"/>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"_Toc46157803"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第三部分 2019年度部门决算情况说明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7"/>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"_Toc46157804"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第四部分 名词解释</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"_Toc46157805"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一、收入科目</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"_Toc46157806" </w:instrText>
      </w:r>
      <w:r>
        <w:rPr>
          <w:rFonts w:hint="eastAsia" w:ascii="仿宋_GB2312" w:hAnsi="仿宋_GB2312" w:eastAsia="仿宋_GB2312" w:cs="仿宋_GB2312"/>
          <w:b w:val="0"/>
          <w:bCs w:val="0"/>
          <w:sz w:val="32"/>
          <w:szCs w:val="32"/>
        </w:rPr>
        <w:fldChar w:fldCharType="separate"/>
      </w:r>
      <w:r>
        <w:rPr>
          <w:rStyle w:val="11"/>
          <w:rFonts w:hint="eastAsia" w:ascii="仿宋_GB2312" w:hAnsi="仿宋_GB2312" w:eastAsia="仿宋_GB2312" w:cs="仿宋_GB2312"/>
          <w:b w:val="0"/>
          <w:bCs w:val="0"/>
          <w:sz w:val="32"/>
          <w:szCs w:val="32"/>
        </w:rPr>
        <w:t>二、支出科目</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_Toc46157806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宋体" w:hAnsi="宋体"/>
          <w:sz w:val="32"/>
        </w:rPr>
        <w:sectPr>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b w:val="0"/>
          <w:bCs w:val="0"/>
          <w:sz w:val="32"/>
          <w:szCs w:val="32"/>
        </w:rPr>
        <w:fldChar w:fldCharType="end"/>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rPr>
          <w:sz w:val="36"/>
          <w:szCs w:val="36"/>
        </w:rPr>
      </w:pPr>
      <w:bookmarkStart w:id="0" w:name="_Toc46157791"/>
      <w:r>
        <w:rPr>
          <w:rFonts w:hint="eastAsia"/>
          <w:sz w:val="36"/>
          <w:szCs w:val="36"/>
        </w:rPr>
        <w:t>第一部分 单位概况</w:t>
      </w:r>
      <w:bookmarkEnd w:id="0"/>
    </w:p>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ascii="仿宋_GB2312" w:hAnsi="宋体" w:eastAsia="仿宋_GB2312"/>
          <w:b/>
        </w:rPr>
      </w:pPr>
      <w:bookmarkStart w:id="1" w:name="_Toc46157792"/>
      <w:r>
        <w:rPr>
          <w:rFonts w:hint="eastAsia" w:ascii="仿宋_GB2312" w:hAnsi="宋体" w:eastAsia="仿宋_GB2312"/>
          <w:b/>
        </w:rPr>
        <w:t>一、主要职能</w:t>
      </w:r>
      <w:bookmarkEnd w:id="1"/>
    </w:p>
    <w:p>
      <w:pPr>
        <w:pageBreakBefore w:val="0"/>
        <w:widowControl w:val="0"/>
        <w:kinsoku/>
        <w:wordWrap/>
        <w:overflowPunct/>
        <w:topLinePunct w:val="0"/>
        <w:bidi w:val="0"/>
        <w:snapToGrid/>
        <w:spacing w:line="56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根据《交通运输部海事局关于规范直属海事系统后勤管理工作的意见》（海办〔2016〕389号）文件，浙江海事局后勤管理中心为直属海事系统所属由财政补助的独立法人事业单位，承担直属海事局后勤管理工作，并根据需要在各分支局</w:t>
      </w:r>
      <w:r>
        <w:rPr>
          <w:rFonts w:ascii="仿宋_GB2312" w:eastAsia="仿宋_GB2312"/>
          <w:sz w:val="32"/>
          <w:szCs w:val="32"/>
        </w:rPr>
        <w:t>(</w:t>
      </w:r>
      <w:r>
        <w:rPr>
          <w:rFonts w:hint="eastAsia" w:ascii="仿宋_GB2312" w:eastAsia="仿宋_GB2312"/>
          <w:sz w:val="32"/>
          <w:szCs w:val="32"/>
        </w:rPr>
        <w:t>处</w:t>
      </w:r>
      <w:r>
        <w:rPr>
          <w:rFonts w:ascii="仿宋_GB2312" w:eastAsia="仿宋_GB2312"/>
          <w:sz w:val="32"/>
          <w:szCs w:val="32"/>
        </w:rPr>
        <w:t>)</w:t>
      </w:r>
      <w:r>
        <w:rPr>
          <w:rFonts w:hint="eastAsia" w:ascii="仿宋_GB2312" w:eastAsia="仿宋_GB2312"/>
          <w:sz w:val="32"/>
          <w:szCs w:val="32"/>
        </w:rPr>
        <w:t>所在地设立派出机构</w:t>
      </w:r>
      <w:r>
        <w:rPr>
          <w:rFonts w:ascii="仿宋_GB2312" w:eastAsia="仿宋_GB2312"/>
          <w:sz w:val="32"/>
          <w:szCs w:val="32"/>
        </w:rPr>
        <w:t>(</w:t>
      </w:r>
      <w:r>
        <w:rPr>
          <w:rFonts w:hint="eastAsia" w:ascii="仿宋_GB2312" w:eastAsia="仿宋_GB2312"/>
          <w:sz w:val="32"/>
          <w:szCs w:val="32"/>
        </w:rPr>
        <w:t>非法人</w:t>
      </w:r>
      <w:r>
        <w:rPr>
          <w:rFonts w:ascii="仿宋_GB2312" w:eastAsia="仿宋_GB2312"/>
          <w:sz w:val="32"/>
          <w:szCs w:val="32"/>
        </w:rPr>
        <w:t>)</w:t>
      </w:r>
      <w:r>
        <w:rPr>
          <w:rFonts w:hint="eastAsia" w:ascii="仿宋_GB2312" w:eastAsia="仿宋_GB2312"/>
          <w:sz w:val="32"/>
          <w:szCs w:val="32"/>
        </w:rPr>
        <w:t>。主要职责如下</w:t>
      </w:r>
      <w:r>
        <w:rPr>
          <w:rFonts w:ascii="仿宋_GB2312" w:eastAsia="仿宋_GB2312"/>
          <w:sz w:val="32"/>
          <w:szCs w:val="32"/>
        </w:rPr>
        <w:t>:</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拟订并组织实施直属海事局后勤管理的规章制度、工作程序。</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承担直属海事局所属机构房产物业管理、食堂管理和设备设施维修维护工作。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承担直属海事局所属机构一般公务用车的日常运行维护工作。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承担直属海事局所属机构低值易耗品及其他授权物资物品采购、保管、维修等工作。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承担直属海事局所属机构编制外用工的使用管理工作。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负责后勤管理中心内部综合管理工作。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负责后勤管理中心所属企业的监督管理工作。</w:t>
      </w:r>
    </w:p>
    <w:p>
      <w:pPr>
        <w:pageBreakBefore w:val="0"/>
        <w:widowControl w:val="0"/>
        <w:kinsoku/>
        <w:wordWrap/>
        <w:overflowPunct/>
        <w:topLinePunct w:val="0"/>
        <w:autoSpaceDE w:val="0"/>
        <w:autoSpaceDN w:val="0"/>
        <w:bidi w:val="0"/>
        <w:adjustRightInd w:val="0"/>
        <w:snapToGrid/>
        <w:spacing w:line="560" w:lineRule="exact"/>
        <w:ind w:left="0" w:leftChars="0" w:right="0" w:rightChars="0"/>
        <w:jc w:val="lef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w:t>
      </w: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完成上级交办的其它任务。</w:t>
      </w:r>
    </w:p>
    <w:p>
      <w:pPr>
        <w:pStyle w:val="3"/>
        <w:pageBreakBefore w:val="0"/>
        <w:widowControl w:val="0"/>
        <w:kinsoku/>
        <w:wordWrap/>
        <w:overflowPunct/>
        <w:topLinePunct w:val="0"/>
        <w:bidi w:val="0"/>
        <w:snapToGrid/>
        <w:spacing w:before="0" w:after="0" w:line="560" w:lineRule="exact"/>
        <w:ind w:left="0" w:leftChars="0" w:right="0" w:rightChars="0" w:firstLine="643" w:firstLineChars="200"/>
        <w:jc w:val="left"/>
        <w:textAlignment w:val="auto"/>
        <w:rPr>
          <w:rFonts w:ascii="仿宋_GB2312" w:hAnsi="宋体" w:eastAsia="仿宋_GB2312"/>
          <w:b/>
        </w:rPr>
      </w:pPr>
      <w:bookmarkStart w:id="2" w:name="_Toc46157793"/>
      <w:r>
        <w:rPr>
          <w:rFonts w:hint="eastAsia" w:ascii="仿宋_GB2312" w:hAnsi="宋体" w:eastAsia="仿宋_GB2312"/>
          <w:b/>
        </w:rPr>
        <w:t>二、机构设置</w:t>
      </w:r>
      <w:bookmarkEnd w:id="2"/>
    </w:p>
    <w:p>
      <w:pPr>
        <w:pageBreakBefore w:val="0"/>
        <w:widowControl w:val="0"/>
        <w:kinsoku/>
        <w:wordWrap/>
        <w:overflowPunct/>
        <w:topLinePunct w:val="0"/>
        <w:bidi w:val="0"/>
        <w:snapToGrid/>
        <w:spacing w:line="56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2019年度决算编制范围包括浙江海事局后勤管理中心一家四级预算单位。</w:t>
      </w:r>
    </w:p>
    <w:p>
      <w:pPr>
        <w:pageBreakBefore w:val="0"/>
        <w:widowControl w:val="0"/>
        <w:kinsoku/>
        <w:wordWrap/>
        <w:overflowPunct/>
        <w:topLinePunct w:val="0"/>
        <w:bidi w:val="0"/>
        <w:snapToGrid/>
        <w:spacing w:line="560" w:lineRule="exact"/>
        <w:ind w:left="0" w:leftChars="0" w:right="0" w:rightChars="0"/>
        <w:textAlignment w:val="auto"/>
        <w:sectPr>
          <w:footerReference r:id="rId3" w:type="default"/>
          <w:pgSz w:w="11906" w:h="16838"/>
          <w:pgMar w:top="1440" w:right="1800" w:bottom="1440" w:left="1800" w:header="851" w:footer="992" w:gutter="0"/>
          <w:pgNumType w:start="1"/>
          <w:cols w:space="425" w:num="1"/>
          <w:docGrid w:type="lines" w:linePitch="312" w:charSpace="0"/>
        </w:sectPr>
      </w:pPr>
    </w:p>
    <w:p>
      <w:pPr>
        <w:pStyle w:val="2"/>
        <w:jc w:val="center"/>
        <w:rPr>
          <w:rFonts w:ascii="宋体" w:hAnsi="宋体"/>
          <w:sz w:val="36"/>
          <w:szCs w:val="36"/>
        </w:rPr>
      </w:pPr>
      <w:bookmarkStart w:id="3" w:name="_Toc46157794"/>
      <w:r>
        <w:rPr>
          <w:rFonts w:hint="eastAsia" w:ascii="宋体" w:hAnsi="宋体"/>
          <w:sz w:val="36"/>
          <w:szCs w:val="36"/>
        </w:rPr>
        <w:t>第二部分 2019年部门决算表</w:t>
      </w:r>
      <w:bookmarkEnd w:id="3"/>
    </w:p>
    <w:p>
      <w:pPr>
        <w:pStyle w:val="3"/>
        <w:jc w:val="center"/>
        <w:rPr>
          <w:rFonts w:ascii="仿宋_GB2312" w:hAnsi="宋体" w:eastAsia="仿宋_GB2312"/>
          <w:b/>
        </w:rPr>
      </w:pPr>
      <w:bookmarkStart w:id="4" w:name="_Toc46157795"/>
      <w:r>
        <w:rPr>
          <w:rFonts w:hint="eastAsia" w:ascii="仿宋_GB2312" w:hAnsi="宋体" w:eastAsia="仿宋_GB2312"/>
          <w:b/>
        </w:rPr>
        <w:t>一、收入支出决算总表</w:t>
      </w:r>
      <w:bookmarkEnd w:id="4"/>
    </w:p>
    <w:p>
      <w:pPr>
        <w:jc w:val="right"/>
        <w:rPr>
          <w:rFonts w:ascii="仿宋_GB2312" w:eastAsia="仿宋_GB2312"/>
          <w:sz w:val="24"/>
          <w:szCs w:val="32"/>
        </w:rPr>
      </w:pPr>
      <w:r>
        <w:rPr>
          <w:rFonts w:hint="eastAsia" w:ascii="仿宋_GB2312" w:eastAsia="仿宋_GB2312"/>
          <w:sz w:val="24"/>
          <w:szCs w:val="32"/>
        </w:rPr>
        <w:t xml:space="preserve"> 公开表01</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4644"/>
        <w:gridCol w:w="993"/>
        <w:gridCol w:w="1701"/>
        <w:gridCol w:w="3685"/>
        <w:gridCol w:w="992"/>
        <w:gridCol w:w="1985"/>
      </w:tblGrid>
      <w:tr>
        <w:tblPrEx>
          <w:tblLayout w:type="fixed"/>
          <w:tblCellMar>
            <w:top w:w="0" w:type="dxa"/>
            <w:left w:w="108" w:type="dxa"/>
            <w:bottom w:w="0" w:type="dxa"/>
            <w:right w:w="108" w:type="dxa"/>
          </w:tblCellMar>
        </w:tblPrEx>
        <w:trPr>
          <w:trHeight w:val="270" w:hRule="atLeast"/>
        </w:trPr>
        <w:tc>
          <w:tcPr>
            <w:tcW w:w="73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66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6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6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一、财政拨款收入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604.41</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二、事业收入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7.08</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三、经营收入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四、附属单位上缴收入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五、其他收入</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276.92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39.71</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565.60</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kern w:val="0"/>
                <w:sz w:val="24"/>
              </w:rPr>
            </w:pPr>
            <w:r>
              <w:rPr>
                <w:rFonts w:hint="eastAsia" w:ascii="仿宋_GB2312" w:eastAsia="仿宋_GB2312"/>
                <w:kern w:val="0"/>
                <w:sz w:val="24"/>
              </w:rPr>
              <w:t>98.03</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十三、其他支出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本年收入合计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888.41</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本年支出合计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703.34</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用事业基金弥补收支差额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结余分配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年初结转和结余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701" w:type="dxa"/>
            <w:tcBorders>
              <w:top w:val="nil"/>
              <w:left w:val="nil"/>
              <w:bottom w:val="single" w:color="auto" w:sz="4" w:space="0"/>
              <w:right w:val="single" w:color="auto" w:sz="4" w:space="0"/>
            </w:tcBorders>
            <w:shd w:val="clear" w:color="auto" w:fill="auto"/>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43.05</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年末结转和结余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228.12</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总计</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931.46</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931.46</w:t>
            </w:r>
          </w:p>
        </w:tc>
      </w:tr>
    </w:tbl>
    <w:p>
      <w:pPr>
        <w:rPr>
          <w:rFonts w:ascii="仿宋_GB2312" w:eastAsia="仿宋_GB2312"/>
          <w:sz w:val="24"/>
          <w:szCs w:val="32"/>
        </w:rPr>
      </w:pPr>
      <w:r>
        <w:rPr>
          <w:rFonts w:hint="eastAsia" w:ascii="仿宋_GB2312" w:eastAsia="仿宋_GB2312"/>
          <w:sz w:val="24"/>
          <w:szCs w:val="32"/>
        </w:rPr>
        <w:t>注：本表反映部门本年度的总收支和年末结转结余情况。</w:t>
      </w:r>
    </w:p>
    <w:p>
      <w:pPr>
        <w:pStyle w:val="3"/>
        <w:jc w:val="both"/>
        <w:rPr>
          <w:rFonts w:ascii="仿宋_GB2312" w:hAnsi="宋体" w:eastAsia="仿宋_GB2312"/>
          <w:sz w:val="24"/>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5" w:name="_Toc46157796"/>
      <w:r>
        <w:rPr>
          <w:rFonts w:hint="eastAsia" w:ascii="仿宋_GB2312" w:hAnsi="宋体" w:eastAsia="仿宋_GB2312"/>
          <w:b/>
        </w:rPr>
        <w:t>二、收入决算表</w:t>
      </w:r>
      <w:bookmarkEnd w:id="5"/>
    </w:p>
    <w:p>
      <w:pPr>
        <w:jc w:val="right"/>
        <w:rPr>
          <w:rFonts w:ascii="仿宋_GB2312" w:eastAsia="仿宋_GB2312"/>
          <w:sz w:val="24"/>
          <w:szCs w:val="32"/>
        </w:rPr>
      </w:pPr>
      <w:r>
        <w:rPr>
          <w:rFonts w:hint="eastAsia" w:ascii="仿宋_GB2312" w:eastAsia="仿宋_GB2312"/>
          <w:sz w:val="24"/>
          <w:szCs w:val="32"/>
        </w:rPr>
        <w:t>公开表02</w:t>
      </w:r>
    </w:p>
    <w:p>
      <w:pPr>
        <w:jc w:val="right"/>
      </w:pPr>
      <w:r>
        <w:rPr>
          <w:rFonts w:hint="eastAsia" w:ascii="仿宋_GB2312" w:eastAsia="仿宋_GB2312"/>
          <w:sz w:val="22"/>
          <w:szCs w:val="32"/>
        </w:rPr>
        <w:t>金额单位：万元</w:t>
      </w:r>
    </w:p>
    <w:tbl>
      <w:tblPr>
        <w:tblStyle w:val="9"/>
        <w:tblW w:w="14176" w:type="dxa"/>
        <w:tblInd w:w="-176" w:type="dxa"/>
        <w:tblLayout w:type="fixed"/>
        <w:tblCellMar>
          <w:top w:w="0" w:type="dxa"/>
          <w:left w:w="108" w:type="dxa"/>
          <w:bottom w:w="0" w:type="dxa"/>
          <w:right w:w="108" w:type="dxa"/>
        </w:tblCellMar>
      </w:tblPr>
      <w:tblGrid>
        <w:gridCol w:w="1336"/>
        <w:gridCol w:w="2634"/>
        <w:gridCol w:w="1458"/>
        <w:gridCol w:w="1458"/>
        <w:gridCol w:w="1458"/>
        <w:gridCol w:w="1458"/>
        <w:gridCol w:w="1458"/>
        <w:gridCol w:w="1458"/>
        <w:gridCol w:w="1458"/>
      </w:tblGrid>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上级补助</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事业收入</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经营收入</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单位上缴</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5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其他收入</w:t>
            </w:r>
          </w:p>
        </w:tc>
      </w:tr>
      <w:tr>
        <w:tblPrEx>
          <w:tblLayout w:type="fixed"/>
          <w:tblCellMar>
            <w:top w:w="0" w:type="dxa"/>
            <w:left w:w="108" w:type="dxa"/>
            <w:bottom w:w="0" w:type="dxa"/>
            <w:right w:w="108" w:type="dxa"/>
          </w:tblCellMar>
        </w:tblPrEx>
        <w:trPr>
          <w:trHeight w:val="63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888.40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604.41</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7.08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276.92</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191.63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191.63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191.63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191.63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594.33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320.78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7.08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266.47</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594.33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320.78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7.08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266.47</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594.33</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320.78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7.08</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266.47</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102.44</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92.00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10.44</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102.44</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92.00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10.44</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48.44</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38.00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10.44</w:t>
            </w:r>
          </w:p>
        </w:tc>
      </w:tr>
      <w:tr>
        <w:tblPrEx>
          <w:tblLayout w:type="fixed"/>
          <w:tblCellMar>
            <w:top w:w="0" w:type="dxa"/>
            <w:left w:w="108" w:type="dxa"/>
            <w:bottom w:w="0" w:type="dxa"/>
            <w:right w:w="108" w:type="dxa"/>
          </w:tblCellMar>
        </w:tblPrEx>
        <w:trPr>
          <w:trHeight w:val="270" w:hRule="atLeast"/>
        </w:trPr>
        <w:tc>
          <w:tcPr>
            <w:tcW w:w="13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54.00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54.00</w:t>
            </w: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5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r>
    </w:tbl>
    <w:p>
      <w:pPr>
        <w:jc w:val="left"/>
        <w:rPr>
          <w:rFonts w:ascii="仿宋_GB2312" w:eastAsia="仿宋_GB2312"/>
          <w:sz w:val="24"/>
          <w:szCs w:val="32"/>
        </w:rPr>
      </w:pPr>
      <w:r>
        <w:rPr>
          <w:rFonts w:hint="eastAsia" w:ascii="仿宋_GB2312" w:eastAsia="仿宋_GB2312"/>
          <w:sz w:val="24"/>
          <w:szCs w:val="32"/>
        </w:rPr>
        <w:t>注：本表反映部门本年度取得的各项收入情况。</w:t>
      </w:r>
    </w:p>
    <w:p>
      <w:pPr>
        <w:rPr>
          <w:rFonts w:ascii="仿宋_GB2312" w:hAnsi="宋体" w:eastAsia="仿宋_GB2312"/>
          <w:b/>
        </w:rPr>
      </w:pPr>
      <w:bookmarkStart w:id="6" w:name="_Toc46157797"/>
    </w:p>
    <w:p>
      <w:pPr>
        <w:pStyle w:val="3"/>
        <w:ind w:firstLine="643" w:firstLineChars="200"/>
        <w:rPr>
          <w:rFonts w:ascii="仿宋_GB2312" w:hAnsi="宋体" w:eastAsia="仿宋_GB2312"/>
          <w:b/>
        </w:rPr>
      </w:pPr>
      <w:r>
        <w:rPr>
          <w:rFonts w:hint="eastAsia" w:ascii="仿宋_GB2312" w:hAnsi="宋体" w:eastAsia="仿宋_GB2312"/>
          <w:b/>
        </w:rPr>
        <w:t>三、支出决算表</w:t>
      </w:r>
      <w:bookmarkEnd w:id="6"/>
    </w:p>
    <w:p>
      <w:pPr>
        <w:jc w:val="right"/>
        <w:rPr>
          <w:rFonts w:ascii="仿宋_GB2312" w:eastAsia="仿宋_GB2312"/>
          <w:sz w:val="24"/>
          <w:szCs w:val="32"/>
        </w:rPr>
      </w:pPr>
      <w:r>
        <w:rPr>
          <w:rFonts w:hint="eastAsia" w:ascii="仿宋_GB2312" w:eastAsia="仿宋_GB2312"/>
          <w:sz w:val="24"/>
          <w:szCs w:val="32"/>
        </w:rPr>
        <w:t>公开表03</w:t>
      </w:r>
    </w:p>
    <w:p>
      <w:pPr>
        <w:jc w:val="right"/>
      </w:pPr>
      <w:r>
        <w:rPr>
          <w:rFonts w:hint="eastAsia" w:ascii="仿宋_GB2312" w:eastAsia="仿宋_GB2312"/>
          <w:sz w:val="22"/>
          <w:szCs w:val="32"/>
        </w:rPr>
        <w:t>金额单位：万元</w:t>
      </w:r>
    </w:p>
    <w:tbl>
      <w:tblPr>
        <w:tblStyle w:val="9"/>
        <w:tblW w:w="14034" w:type="dxa"/>
        <w:tblInd w:w="-34" w:type="dxa"/>
        <w:tblLayout w:type="fixed"/>
        <w:tblCellMar>
          <w:top w:w="0" w:type="dxa"/>
          <w:left w:w="108" w:type="dxa"/>
          <w:bottom w:w="0" w:type="dxa"/>
          <w:right w:w="108" w:type="dxa"/>
        </w:tblCellMar>
      </w:tblPr>
      <w:tblGrid>
        <w:gridCol w:w="1276"/>
        <w:gridCol w:w="2694"/>
        <w:gridCol w:w="1677"/>
        <w:gridCol w:w="1677"/>
        <w:gridCol w:w="1678"/>
        <w:gridCol w:w="1677"/>
        <w:gridCol w:w="1677"/>
        <w:gridCol w:w="1678"/>
      </w:tblGrid>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本年支出合计</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上缴上级支出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对附属单位补助支出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703.34</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703.34</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39.71</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565.60</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98.03</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98.03</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98.03</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98.03</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48.44</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48.44</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49.58</w:t>
            </w:r>
          </w:p>
        </w:tc>
        <w:tc>
          <w:tcPr>
            <w:tcW w:w="16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32"/>
              </w:rPr>
            </w:pPr>
            <w:r>
              <w:rPr>
                <w:rFonts w:hint="eastAsia" w:ascii="仿宋_GB2312" w:eastAsia="仿宋_GB2312"/>
                <w:sz w:val="24"/>
                <w:szCs w:val="32"/>
              </w:rPr>
              <w:t>49.58</w:t>
            </w:r>
          </w:p>
        </w:tc>
        <w:tc>
          <w:tcPr>
            <w:tcW w:w="167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6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注：本表反映部门本年度各项支出情况。</w:t>
      </w:r>
    </w:p>
    <w:p>
      <w:pPr>
        <w:rPr>
          <w:rFonts w:ascii="仿宋_GB2312" w:eastAsia="仿宋_GB2312"/>
          <w:sz w:val="32"/>
          <w:szCs w:val="32"/>
        </w:rPr>
      </w:pPr>
    </w:p>
    <w:p>
      <w:pPr>
        <w:pStyle w:val="3"/>
        <w:ind w:firstLine="643" w:firstLineChars="200"/>
        <w:rPr>
          <w:rFonts w:ascii="仿宋_GB2312" w:hAnsi="宋体" w:eastAsia="仿宋_GB2312"/>
          <w:b/>
        </w:rPr>
      </w:pPr>
      <w:bookmarkStart w:id="7" w:name="_Toc46157798"/>
      <w:r>
        <w:rPr>
          <w:rFonts w:hint="eastAsia" w:ascii="仿宋_GB2312" w:hAnsi="宋体" w:eastAsia="仿宋_GB2312"/>
          <w:b/>
        </w:rPr>
        <w:t>四、财政拨款收入支出决算总表</w:t>
      </w:r>
      <w:bookmarkEnd w:id="7"/>
    </w:p>
    <w:p>
      <w:pPr>
        <w:jc w:val="right"/>
        <w:rPr>
          <w:rFonts w:ascii="仿宋_GB2312" w:eastAsia="仿宋_GB2312"/>
          <w:sz w:val="24"/>
          <w:szCs w:val="32"/>
        </w:rPr>
      </w:pPr>
      <w:r>
        <w:rPr>
          <w:rFonts w:hint="eastAsia" w:ascii="仿宋_GB2312" w:eastAsia="仿宋_GB2312"/>
          <w:sz w:val="24"/>
          <w:szCs w:val="32"/>
        </w:rPr>
        <w:t>公开表04</w:t>
      </w:r>
    </w:p>
    <w:p>
      <w:pPr>
        <w:jc w:val="right"/>
      </w:pPr>
      <w:r>
        <w:rPr>
          <w:rFonts w:hint="eastAsia" w:ascii="仿宋_GB2312" w:eastAsia="仿宋_GB2312"/>
          <w:sz w:val="22"/>
          <w:szCs w:val="32"/>
        </w:rPr>
        <w:t>金额单位：万元</w:t>
      </w:r>
    </w:p>
    <w:tbl>
      <w:tblPr>
        <w:tblStyle w:val="9"/>
        <w:tblW w:w="13907" w:type="dxa"/>
        <w:tblInd w:w="93" w:type="dxa"/>
        <w:tblLayout w:type="fixed"/>
        <w:tblCellMar>
          <w:top w:w="0" w:type="dxa"/>
          <w:left w:w="108" w:type="dxa"/>
          <w:bottom w:w="0" w:type="dxa"/>
          <w:right w:w="108" w:type="dxa"/>
        </w:tblCellMar>
      </w:tblPr>
      <w:tblGrid>
        <w:gridCol w:w="3134"/>
        <w:gridCol w:w="850"/>
        <w:gridCol w:w="1418"/>
        <w:gridCol w:w="3339"/>
        <w:gridCol w:w="772"/>
        <w:gridCol w:w="1417"/>
        <w:gridCol w:w="1417"/>
        <w:gridCol w:w="1560"/>
      </w:tblGrid>
      <w:tr>
        <w:tblPrEx>
          <w:tblLayout w:type="fixed"/>
          <w:tblCellMar>
            <w:top w:w="0" w:type="dxa"/>
            <w:left w:w="108" w:type="dxa"/>
            <w:bottom w:w="0" w:type="dxa"/>
            <w:right w:w="108" w:type="dxa"/>
          </w:tblCellMar>
        </w:tblPrEx>
        <w:trPr>
          <w:trHeight w:val="270" w:hRule="atLeast"/>
        </w:trPr>
        <w:tc>
          <w:tcPr>
            <w:tcW w:w="5402"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   入</w:t>
            </w:r>
          </w:p>
        </w:tc>
        <w:tc>
          <w:tcPr>
            <w:tcW w:w="8505"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   出</w:t>
            </w:r>
          </w:p>
        </w:tc>
      </w:tr>
      <w:tr>
        <w:tblPrEx>
          <w:tblLayout w:type="fixed"/>
          <w:tblCellMar>
            <w:top w:w="0" w:type="dxa"/>
            <w:left w:w="108" w:type="dxa"/>
            <w:bottom w:w="0" w:type="dxa"/>
            <w:right w:w="108" w:type="dxa"/>
          </w:tblCellMar>
        </w:tblPrEx>
        <w:trPr>
          <w:trHeight w:val="645" w:hRule="atLeast"/>
        </w:trPr>
        <w:tc>
          <w:tcPr>
            <w:tcW w:w="313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7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一般公共预算财政拨款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604.41</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 xml:space="preserve">政拨款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45"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39.71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39.71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249.00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249.00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87.58</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87.58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本年收入合计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604.41</w:t>
            </w:r>
          </w:p>
        </w:tc>
        <w:tc>
          <w:tcPr>
            <w:tcW w:w="3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本年支出合计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376.29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376.29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政拨款结转和结余</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年末财政拨款结转和结余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228.12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228.12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604.41</w:t>
            </w:r>
          </w:p>
        </w:tc>
        <w:tc>
          <w:tcPr>
            <w:tcW w:w="3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7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604.41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604.41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注：本表反映部门本年度一般公共预算财政拨款和政府性基金预算财政拨款的总收支和年末结转结余情况。</w:t>
      </w:r>
    </w:p>
    <w:p>
      <w:pPr>
        <w:rPr>
          <w:rFonts w:ascii="仿宋_GB2312" w:eastAsia="仿宋_GB2312"/>
          <w:sz w:val="32"/>
          <w:szCs w:val="32"/>
        </w:rPr>
      </w:pP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8" w:name="_Toc46157799"/>
      <w:r>
        <w:rPr>
          <w:rFonts w:hint="eastAsia" w:ascii="仿宋_GB2312" w:hAnsi="宋体" w:eastAsia="仿宋_GB2312"/>
          <w:b/>
        </w:rPr>
        <w:t>五、一般公共预算财政拨款支出决算表</w:t>
      </w:r>
      <w:bookmarkEnd w:id="8"/>
    </w:p>
    <w:p>
      <w:pPr>
        <w:jc w:val="right"/>
        <w:rPr>
          <w:rFonts w:ascii="仿宋_GB2312" w:eastAsia="仿宋_GB2312"/>
          <w:sz w:val="24"/>
          <w:szCs w:val="32"/>
        </w:rPr>
      </w:pPr>
      <w:r>
        <w:rPr>
          <w:rFonts w:hint="eastAsia" w:ascii="仿宋_GB2312" w:eastAsia="仿宋_GB2312"/>
          <w:sz w:val="24"/>
          <w:szCs w:val="32"/>
        </w:rPr>
        <w:t>公开表05</w:t>
      </w:r>
    </w:p>
    <w:p>
      <w:pPr>
        <w:jc w:val="right"/>
      </w:pPr>
      <w:r>
        <w:rPr>
          <w:rFonts w:hint="eastAsia" w:ascii="仿宋_GB2312" w:eastAsia="仿宋_GB2312"/>
          <w:sz w:val="22"/>
          <w:szCs w:val="32"/>
        </w:rPr>
        <w:t>金额单位：万元</w:t>
      </w:r>
    </w:p>
    <w:tbl>
      <w:tblPr>
        <w:tblStyle w:val="9"/>
        <w:tblW w:w="8840" w:type="dxa"/>
        <w:tblInd w:w="93" w:type="dxa"/>
        <w:tblLayout w:type="fixed"/>
        <w:tblCellMar>
          <w:top w:w="0" w:type="dxa"/>
          <w:left w:w="108" w:type="dxa"/>
          <w:bottom w:w="0" w:type="dxa"/>
          <w:right w:w="108" w:type="dxa"/>
        </w:tblCellMar>
      </w:tblPr>
      <w:tblGrid>
        <w:gridCol w:w="1260"/>
        <w:gridCol w:w="2600"/>
        <w:gridCol w:w="1660"/>
        <w:gridCol w:w="1660"/>
        <w:gridCol w:w="1660"/>
      </w:tblGrid>
      <w:tr>
        <w:tblPrEx>
          <w:tblLayout w:type="fixed"/>
          <w:tblCellMar>
            <w:top w:w="0" w:type="dxa"/>
            <w:left w:w="108" w:type="dxa"/>
            <w:bottom w:w="0" w:type="dxa"/>
            <w:right w:w="108" w:type="dxa"/>
          </w:tblCellMar>
        </w:tblPrEx>
        <w:trPr>
          <w:trHeight w:val="270" w:hRule="atLeast"/>
        </w:trPr>
        <w:tc>
          <w:tcPr>
            <w:tcW w:w="38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4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r>
      <w:tr>
        <w:tblPrEx>
          <w:tblLayout w:type="fixed"/>
          <w:tblCellMar>
            <w:top w:w="0" w:type="dxa"/>
            <w:left w:w="108" w:type="dxa"/>
            <w:bottom w:w="0" w:type="dxa"/>
            <w:right w:w="108" w:type="dxa"/>
          </w:tblCellMar>
        </w:tblPrEx>
        <w:trPr>
          <w:trHeight w:val="615"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Layout w:type="fixed"/>
          <w:tblCellMar>
            <w:top w:w="0" w:type="dxa"/>
            <w:left w:w="108" w:type="dxa"/>
            <w:bottom w:w="0" w:type="dxa"/>
            <w:right w:w="108" w:type="dxa"/>
          </w:tblCellMar>
        </w:tblPrEx>
        <w:trPr>
          <w:trHeight w:val="270" w:hRule="atLeast"/>
        </w:trPr>
        <w:tc>
          <w:tcPr>
            <w:tcW w:w="38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Layout w:type="fixed"/>
          <w:tblCellMar>
            <w:top w:w="0" w:type="dxa"/>
            <w:left w:w="108" w:type="dxa"/>
            <w:bottom w:w="0" w:type="dxa"/>
            <w:right w:w="108" w:type="dxa"/>
          </w:tblCellMar>
        </w:tblPrEx>
        <w:trPr>
          <w:trHeight w:val="270" w:hRule="atLeast"/>
        </w:trPr>
        <w:tc>
          <w:tcPr>
            <w:tcW w:w="38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376.29</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376.29</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bookmarkStart w:id="16" w:name="_GoBack"/>
            <w:bookmarkEnd w:id="16"/>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249.00</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87.58</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87.58</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87.58</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87.58</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38.00</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38.00</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49.58</w:t>
            </w:r>
          </w:p>
        </w:tc>
        <w:tc>
          <w:tcPr>
            <w:tcW w:w="1660"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49.58</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注：本表反映部门本年度一般公共预算财政拨款支出情况。</w:t>
      </w:r>
    </w:p>
    <w:p>
      <w:pPr>
        <w:rPr>
          <w:rFonts w:ascii="仿宋_GB2312" w:eastAsia="仿宋_GB2312"/>
          <w:sz w:val="32"/>
          <w:szCs w:val="32"/>
        </w:rPr>
      </w:pPr>
    </w:p>
    <w:p>
      <w:pPr>
        <w:pStyle w:val="3"/>
        <w:ind w:firstLine="643" w:firstLineChars="200"/>
        <w:rPr>
          <w:rFonts w:ascii="仿宋_GB2312" w:hAnsi="宋体" w:eastAsia="仿宋_GB2312"/>
          <w:b/>
        </w:rPr>
        <w:sectPr>
          <w:pgSz w:w="11906" w:h="16838"/>
          <w:pgMar w:top="1440" w:right="1800" w:bottom="1440" w:left="1800" w:header="851" w:footer="992" w:gutter="0"/>
          <w:cols w:space="425" w:num="1"/>
          <w:docGrid w:type="lines" w:linePitch="312" w:charSpace="0"/>
        </w:sectPr>
      </w:pPr>
    </w:p>
    <w:p>
      <w:pPr>
        <w:pStyle w:val="3"/>
        <w:ind w:firstLine="643" w:firstLineChars="200"/>
        <w:rPr>
          <w:rFonts w:ascii="仿宋_GB2312" w:hAnsi="宋体" w:eastAsia="仿宋_GB2312"/>
          <w:b/>
        </w:rPr>
      </w:pPr>
      <w:bookmarkStart w:id="9" w:name="_Toc46157800"/>
      <w:r>
        <w:rPr>
          <w:rFonts w:hint="eastAsia" w:ascii="仿宋_GB2312" w:hAnsi="宋体" w:eastAsia="仿宋_GB2312"/>
          <w:b/>
        </w:rPr>
        <w:t>六、一般公共预算财政拨款基本支出决算表</w:t>
      </w:r>
      <w:bookmarkEnd w:id="9"/>
    </w:p>
    <w:p>
      <w:pPr>
        <w:jc w:val="right"/>
        <w:rPr>
          <w:rFonts w:ascii="仿宋_GB2312" w:eastAsia="仿宋_GB2312"/>
          <w:sz w:val="24"/>
          <w:szCs w:val="32"/>
        </w:rPr>
      </w:pPr>
      <w:r>
        <w:rPr>
          <w:rFonts w:hint="eastAsia" w:ascii="仿宋_GB2312" w:eastAsia="仿宋_GB2312"/>
          <w:sz w:val="24"/>
          <w:szCs w:val="32"/>
        </w:rPr>
        <w:t>公开表06</w:t>
      </w:r>
    </w:p>
    <w:p>
      <w:pPr>
        <w:jc w:val="right"/>
        <w:rPr>
          <w:rFonts w:ascii="仿宋_GB2312" w:eastAsia="仿宋_GB2312"/>
          <w:sz w:val="22"/>
          <w:szCs w:val="32"/>
        </w:rPr>
      </w:pPr>
      <w:r>
        <w:rPr>
          <w:rFonts w:hint="eastAsia" w:ascii="仿宋_GB2312" w:eastAsia="仿宋_GB2312"/>
          <w:sz w:val="22"/>
          <w:szCs w:val="32"/>
        </w:rPr>
        <w:t>金额单位：万元</w:t>
      </w:r>
    </w:p>
    <w:p>
      <w:pPr>
        <w:jc w:val="right"/>
      </w:pPr>
    </w:p>
    <w:p>
      <w:pPr>
        <w:tabs>
          <w:tab w:val="left" w:pos="615"/>
        </w:tabs>
      </w:pPr>
      <w:r>
        <w:tab/>
      </w:r>
    </w:p>
    <w:tbl>
      <w:tblPr>
        <w:tblStyle w:val="9"/>
        <w:tblW w:w="15741" w:type="dxa"/>
        <w:tblInd w:w="93" w:type="dxa"/>
        <w:tblLayout w:type="fixed"/>
        <w:tblCellMar>
          <w:top w:w="0" w:type="dxa"/>
          <w:left w:w="108" w:type="dxa"/>
          <w:bottom w:w="0" w:type="dxa"/>
          <w:right w:w="108" w:type="dxa"/>
        </w:tblCellMar>
      </w:tblPr>
      <w:tblGrid>
        <w:gridCol w:w="1154"/>
        <w:gridCol w:w="3397"/>
        <w:gridCol w:w="1134"/>
        <w:gridCol w:w="1276"/>
        <w:gridCol w:w="2268"/>
        <w:gridCol w:w="1134"/>
        <w:gridCol w:w="1134"/>
        <w:gridCol w:w="2268"/>
        <w:gridCol w:w="1110"/>
        <w:gridCol w:w="866"/>
      </w:tblGrid>
      <w:tr>
        <w:tblPrEx>
          <w:tblLayout w:type="fixed"/>
          <w:tblCellMar>
            <w:top w:w="0" w:type="dxa"/>
            <w:left w:w="108" w:type="dxa"/>
            <w:bottom w:w="0" w:type="dxa"/>
            <w:right w:w="108" w:type="dxa"/>
          </w:tblCellMar>
        </w:tblPrEx>
        <w:trPr>
          <w:gridAfter w:val="1"/>
          <w:wAfter w:w="866" w:type="dxa"/>
          <w:trHeight w:val="270" w:hRule="atLeast"/>
        </w:trPr>
        <w:tc>
          <w:tcPr>
            <w:tcW w:w="568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人员经费</w:t>
            </w:r>
          </w:p>
        </w:tc>
        <w:tc>
          <w:tcPr>
            <w:tcW w:w="9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w:t>
            </w:r>
          </w:p>
        </w:tc>
      </w:tr>
      <w:tr>
        <w:tblPrEx>
          <w:tblLayout w:type="fixed"/>
          <w:tblCellMar>
            <w:top w:w="0" w:type="dxa"/>
            <w:left w:w="108" w:type="dxa"/>
            <w:bottom w:w="0" w:type="dxa"/>
            <w:right w:w="108" w:type="dxa"/>
          </w:tblCellMar>
        </w:tblPrEx>
        <w:trPr>
          <w:gridAfter w:val="1"/>
          <w:wAfter w:w="866" w:type="dxa"/>
          <w:trHeight w:val="72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33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金额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工资福利支出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265.58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商品和服务支出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68.92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资本性支出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2.08</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30101</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基本工资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54.65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2.85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办公设备购置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2.08</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30102</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津贴补贴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49.58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印刷费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0.21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专用设备购置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30103</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奖金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咨询费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信息网络及软件购置更新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30104</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其他社会保障缴费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手续费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0.33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31013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公务用车购置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30106</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伙食补助费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水费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0.15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30107</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绩效工资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123.31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电费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0.32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30108</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机关事业单位基本养老保险缴费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邮电费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30109</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职业年金缴费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取暖费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30199</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其他工资福利支出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物业管理费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3.46</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30113</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38.00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差旅费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11.88</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30114</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医疗费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0.04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因公出国（境）费用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对个人和家庭的补助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39.71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维修（护）费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1.97</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30301</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离休费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租赁费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30302</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退休费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38.05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会议费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0.55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30303</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退职（役）费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培训费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0.93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30304</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抚恤金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劳务费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30305</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生活补助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1.66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工会经费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30309</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奖励金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11.32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30312</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提租补贴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23.34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30313</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购房补贴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其他交通费用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30314</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采暖补贴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30240</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税金及附加费用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5.39</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30315</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物业服务补贴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30299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2.60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30399</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专用材料费</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2.41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33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委托业务费</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1.21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c>
          <w:tcPr>
            <w:tcW w:w="11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p>
        </w:tc>
      </w:tr>
      <w:tr>
        <w:tblPrEx>
          <w:tblLayout w:type="fixed"/>
          <w:tblCellMar>
            <w:top w:w="0" w:type="dxa"/>
            <w:left w:w="108" w:type="dxa"/>
            <w:bottom w:w="0" w:type="dxa"/>
            <w:right w:w="108" w:type="dxa"/>
          </w:tblCellMar>
        </w:tblPrEx>
        <w:trPr>
          <w:trHeight w:val="270" w:hRule="atLeast"/>
        </w:trPr>
        <w:tc>
          <w:tcPr>
            <w:tcW w:w="455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人员经费合计</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305.29</w:t>
            </w:r>
          </w:p>
        </w:tc>
        <w:tc>
          <w:tcPr>
            <w:tcW w:w="80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公用经费合计</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71</w:t>
            </w:r>
          </w:p>
        </w:tc>
        <w:tc>
          <w:tcPr>
            <w:tcW w:w="866"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p>
        </w:tc>
      </w:tr>
    </w:tbl>
    <w:p>
      <w:pPr>
        <w:tabs>
          <w:tab w:val="left" w:pos="615"/>
        </w:tabs>
        <w:rPr>
          <w:rFonts w:ascii="仿宋_GB2312" w:eastAsia="仿宋_GB2312"/>
          <w:sz w:val="24"/>
        </w:rPr>
      </w:pPr>
      <w:r>
        <w:rPr>
          <w:rFonts w:hint="eastAsia" w:ascii="仿宋_GB2312" w:eastAsia="仿宋_GB2312"/>
          <w:sz w:val="24"/>
        </w:rPr>
        <w:t>注：本表反映部门本年度一般公共预算财政拨款基本支出明细情况。</w:t>
      </w:r>
    </w:p>
    <w:p>
      <w:pPr>
        <w:pStyle w:val="3"/>
        <w:ind w:firstLine="643" w:firstLineChars="200"/>
        <w:rPr>
          <w:rFonts w:ascii="仿宋_GB2312" w:hAnsi="宋体" w:eastAsia="仿宋_GB2312"/>
          <w:b/>
        </w:rPr>
      </w:pPr>
    </w:p>
    <w:p>
      <w:pPr>
        <w:pStyle w:val="3"/>
        <w:ind w:firstLine="643" w:firstLineChars="200"/>
        <w:rPr>
          <w:rFonts w:ascii="仿宋_GB2312" w:hAnsi="宋体" w:eastAsia="仿宋_GB2312"/>
          <w:b/>
        </w:rPr>
      </w:pPr>
    </w:p>
    <w:p>
      <w:pPr>
        <w:pStyle w:val="3"/>
        <w:jc w:val="both"/>
        <w:rPr>
          <w:rFonts w:ascii="仿宋_GB2312" w:hAnsi="宋体" w:eastAsia="仿宋_GB2312"/>
          <w:b/>
        </w:rPr>
      </w:pPr>
    </w:p>
    <w:p/>
    <w:p>
      <w:pPr>
        <w:pStyle w:val="3"/>
        <w:ind w:firstLine="643" w:firstLineChars="200"/>
        <w:rPr>
          <w:rFonts w:ascii="仿宋_GB2312" w:hAnsi="宋体" w:eastAsia="仿宋_GB2312"/>
          <w:b/>
        </w:rPr>
      </w:pPr>
      <w:bookmarkStart w:id="10" w:name="_Toc46157801"/>
      <w:r>
        <w:rPr>
          <w:rFonts w:hint="eastAsia" w:ascii="仿宋_GB2312" w:hAnsi="宋体" w:eastAsia="仿宋_GB2312"/>
          <w:b/>
        </w:rPr>
        <w:t>七、一般公共预算财政拨款“三公”经费支出决算表</w:t>
      </w:r>
      <w:bookmarkEnd w:id="10"/>
    </w:p>
    <w:p>
      <w:pPr>
        <w:jc w:val="right"/>
        <w:rPr>
          <w:rFonts w:ascii="仿宋_GB2312" w:eastAsia="仿宋_GB2312"/>
          <w:sz w:val="24"/>
          <w:szCs w:val="32"/>
        </w:rPr>
      </w:pPr>
      <w:r>
        <w:rPr>
          <w:rFonts w:hint="eastAsia" w:ascii="仿宋_GB2312" w:eastAsia="仿宋_GB2312"/>
          <w:sz w:val="24"/>
          <w:szCs w:val="32"/>
        </w:rPr>
        <w:t>公开表07</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174" w:type="dxa"/>
        <w:tblInd w:w="0" w:type="dxa"/>
        <w:tblLayout w:type="fixed"/>
        <w:tblCellMar>
          <w:top w:w="0" w:type="dxa"/>
          <w:left w:w="108" w:type="dxa"/>
          <w:bottom w:w="0" w:type="dxa"/>
          <w:right w:w="108" w:type="dxa"/>
        </w:tblCellMar>
      </w:tblPr>
      <w:tblGrid>
        <w:gridCol w:w="957"/>
        <w:gridCol w:w="1324"/>
        <w:gridCol w:w="805"/>
        <w:gridCol w:w="1298"/>
        <w:gridCol w:w="1514"/>
        <w:gridCol w:w="1142"/>
        <w:gridCol w:w="865"/>
        <w:gridCol w:w="1514"/>
        <w:gridCol w:w="754"/>
        <w:gridCol w:w="1347"/>
        <w:gridCol w:w="1514"/>
        <w:gridCol w:w="1140"/>
      </w:tblGrid>
      <w:tr>
        <w:tblPrEx>
          <w:tblLayout w:type="fixed"/>
          <w:tblCellMar>
            <w:top w:w="0" w:type="dxa"/>
            <w:left w:w="108" w:type="dxa"/>
            <w:bottom w:w="0" w:type="dxa"/>
            <w:right w:w="108" w:type="dxa"/>
          </w:tblCellMar>
        </w:tblPrEx>
        <w:trPr>
          <w:trHeight w:val="270" w:hRule="atLeast"/>
        </w:trPr>
        <w:tc>
          <w:tcPr>
            <w:tcW w:w="704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713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决算数</w:t>
            </w:r>
          </w:p>
        </w:tc>
      </w:tr>
      <w:tr>
        <w:tblPrEx>
          <w:tblLayout w:type="fixed"/>
          <w:tblCellMar>
            <w:top w:w="0" w:type="dxa"/>
            <w:left w:w="108" w:type="dxa"/>
            <w:bottom w:w="0" w:type="dxa"/>
            <w:right w:w="108" w:type="dxa"/>
          </w:tblCellMar>
        </w:tblPrEx>
        <w:trPr>
          <w:trHeight w:val="270" w:hRule="atLeast"/>
        </w:trPr>
        <w:tc>
          <w:tcPr>
            <w:tcW w:w="95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3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61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c>
          <w:tcPr>
            <w:tcW w:w="8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4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r>
      <w:tr>
        <w:tblPrEx>
          <w:tblLayout w:type="fixed"/>
          <w:tblCellMar>
            <w:top w:w="0" w:type="dxa"/>
            <w:left w:w="108" w:type="dxa"/>
            <w:bottom w:w="0" w:type="dxa"/>
            <w:right w:w="108" w:type="dxa"/>
          </w:tblCellMar>
        </w:tblPrEx>
        <w:trPr>
          <w:trHeight w:val="270" w:hRule="atLeast"/>
        </w:trPr>
        <w:tc>
          <w:tcPr>
            <w:tcW w:w="9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32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运行费</w:t>
            </w:r>
          </w:p>
        </w:tc>
        <w:tc>
          <w:tcPr>
            <w:tcW w:w="11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6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1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运行费</w:t>
            </w:r>
          </w:p>
        </w:tc>
        <w:tc>
          <w:tcPr>
            <w:tcW w:w="1140" w:type="dxa"/>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9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7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r>
      <w:tr>
        <w:tblPrEx>
          <w:tblLayout w:type="fixed"/>
          <w:tblCellMar>
            <w:top w:w="0" w:type="dxa"/>
            <w:left w:w="108" w:type="dxa"/>
            <w:bottom w:w="0" w:type="dxa"/>
            <w:right w:w="108" w:type="dxa"/>
          </w:tblCellMar>
        </w:tblPrEx>
        <w:trPr>
          <w:trHeight w:val="270" w:hRule="atLeast"/>
        </w:trPr>
        <w:tc>
          <w:tcPr>
            <w:tcW w:w="9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40.6　</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40.60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6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23.34　</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5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23.34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注：本表反映部门本年度“三公”经费支出预决算情况。其中：预算数为“三公”经费年初预算数，决算数是包括当年一般公共预算财政拨款和以前年度结转资金安排的实际支出。</w:t>
      </w: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11" w:name="_Toc46157802"/>
      <w:r>
        <w:rPr>
          <w:rFonts w:hint="eastAsia" w:ascii="仿宋_GB2312" w:hAnsi="宋体" w:eastAsia="仿宋_GB2312"/>
          <w:b/>
        </w:rPr>
        <w:t>八、政府性基金预算财政拨款收入支出决算表</w:t>
      </w:r>
      <w:bookmarkEnd w:id="11"/>
    </w:p>
    <w:p>
      <w:pPr>
        <w:jc w:val="right"/>
        <w:rPr>
          <w:rFonts w:ascii="仿宋_GB2312" w:eastAsia="仿宋_GB2312"/>
          <w:sz w:val="24"/>
          <w:szCs w:val="32"/>
        </w:rPr>
      </w:pPr>
      <w:r>
        <w:rPr>
          <w:rFonts w:hint="eastAsia" w:ascii="仿宋_GB2312" w:eastAsia="仿宋_GB2312"/>
          <w:sz w:val="24"/>
          <w:szCs w:val="32"/>
        </w:rPr>
        <w:t>公开表08</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8804" w:type="dxa"/>
        <w:tblInd w:w="93" w:type="dxa"/>
        <w:tblLayout w:type="fixed"/>
        <w:tblCellMar>
          <w:top w:w="0" w:type="dxa"/>
          <w:left w:w="108" w:type="dxa"/>
          <w:bottom w:w="0" w:type="dxa"/>
          <w:right w:w="108" w:type="dxa"/>
        </w:tblCellMar>
      </w:tblPr>
      <w:tblGrid>
        <w:gridCol w:w="1180"/>
        <w:gridCol w:w="1080"/>
        <w:gridCol w:w="1157"/>
        <w:gridCol w:w="1134"/>
        <w:gridCol w:w="851"/>
        <w:gridCol w:w="1134"/>
        <w:gridCol w:w="1134"/>
        <w:gridCol w:w="1134"/>
      </w:tblGrid>
      <w:tr>
        <w:tblPrEx>
          <w:tblLayout w:type="fixed"/>
          <w:tblCellMar>
            <w:top w:w="0" w:type="dxa"/>
            <w:left w:w="108" w:type="dxa"/>
            <w:bottom w:w="0" w:type="dxa"/>
            <w:right w:w="108" w:type="dxa"/>
          </w:tblCellMar>
        </w:tblPrEx>
        <w:trPr>
          <w:trHeight w:val="270" w:hRule="atLeast"/>
        </w:trPr>
        <w:tc>
          <w:tcPr>
            <w:tcW w:w="22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1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年初结转和结余</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tc>
        <w:tc>
          <w:tcPr>
            <w:tcW w:w="311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年末结转和结余</w:t>
            </w:r>
          </w:p>
        </w:tc>
      </w:tr>
      <w:tr>
        <w:tblPrEx>
          <w:tblLayout w:type="fixed"/>
          <w:tblCellMar>
            <w:top w:w="0" w:type="dxa"/>
            <w:left w:w="108" w:type="dxa"/>
            <w:bottom w:w="0" w:type="dxa"/>
            <w:right w:w="108" w:type="dxa"/>
          </w:tblCellMar>
        </w:tblPrEx>
        <w:trPr>
          <w:trHeight w:val="61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注：本表反映部门本年度政府性基金预算财政拨款收入、支出及结转和结余情况。</w:t>
      </w:r>
    </w:p>
    <w:p>
      <w:pPr>
        <w:rPr>
          <w:rFonts w:ascii="仿宋_GB2312" w:eastAsia="仿宋_GB2312"/>
          <w:sz w:val="24"/>
        </w:rPr>
        <w:sectPr>
          <w:pgSz w:w="11906" w:h="16838"/>
          <w:pgMar w:top="1440" w:right="1800" w:bottom="1440" w:left="1800" w:header="851" w:footer="992" w:gutter="0"/>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rPr>
          <w:rFonts w:ascii="宋体" w:hAnsi="宋体"/>
          <w:sz w:val="36"/>
          <w:szCs w:val="32"/>
        </w:rPr>
      </w:pPr>
      <w:bookmarkStart w:id="12" w:name="_Toc46157803"/>
      <w:r>
        <w:rPr>
          <w:rFonts w:hint="eastAsia" w:ascii="宋体" w:hAnsi="宋体"/>
          <w:sz w:val="36"/>
          <w:szCs w:val="32"/>
        </w:rPr>
        <w:t>第三部分 2019年度部门决算情况说明</w:t>
      </w:r>
      <w:bookmarkEnd w:id="12"/>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一、关于收支情况总体说明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浙江海事局后勤管理中心2018年度收支总决算1634.8万元。其中：</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（一）收入总计931.46万元。包括：</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1.财政拨款收入604.41万元，为中央财政当年拨付的资金，较2018年决算数增加190.03万元，增幅31.44%。</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其他收276.92万元，为本单位在本级财政拨款收入、事业收入、经营收入、附属单位上缴收入等之外取得的收入。例如：存款利息收入、本单位取得的资产出租收入和投资收益等。较2018年决算数减少541.07万元，减幅66.15%。主要原因是2019年度投资企业未分配利润。</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3.用事业基金弥补收支差额0万元。</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4.上年结转和结余43.05万元，为以前年度尚未完成，结转到本年仍按原规定用途继续使用的资金。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5.事业收入7.08万元，主要为车辆租金收入。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（二）支出总计703.34万元。包括：</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1.社会保障和就业（类）支出39.71万元，主要用于本单位事业单位离退休人员经费支出。较2018年决算增加6.53万元，增幅19.68%。主要原因是2019年6月起单位整体参加养老保险。</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2.交通运输（类）支出565.60万元，主要用于交通运输方面的支出。包括行政管理等方面的支出。较2018年决算增加132.53万元，增幅30.61%。主要原因是单位事业发展需要的各项支出增加。</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3.住房保障支出（类）98.03万元，主要用于按照国家政策规定为职工缴纳和发放的住房公积金、购房补贴等住房改革方面的支出。较2018年决算增加13.95万元，增幅16.59%。主要原因是2019年住房公积金及购房补贴缴费基数调整。</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二、关于收入决算情况说明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浙江海事局后勤管理中心2019年度收入决算931.46万元，其中：财政拨款收入604.41万元，占64.89%；其他收入276.92万元，占29.74%。</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三、关于支出决算情况说明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浙江海事局后勤管理中心2019年度支出决算703.34万元，其中：基本支出703.34万元，占100%。</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四、关于一般公共预算财政拨款支出决算情况说明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浙江海事局后勤管理中心2019年度一般公共预算财政拨款支出决算反映财政拨款支出总体情况，主要是使用本年从中央财政取得的财政拨款发生的支出。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（一）财政拨款支出决算变化情况。浙江海事局后勤管理中心2019年度财政拨款支出376.29万元，占本年支出总计的53.5%。支出比2018年减少了57.99万元，减幅13.35%。</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（二）财政拨款支出决算构成情况。2019年浙江海事局后勤管理中心财政拨款用于以下方面：交通运输（类）支出　249万元，占66.17%；社会保障和就业（类）支出39.71万元，占10.55%；住房保障支出（类）87.58万元，占23.28%。</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（三）财政拨款支出具体使用情况。</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1.社会保障和就业（类）</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（1）行政事业单位离退休（款）事业单位离退休（项）。2019年财政拨款支出</w:t>
      </w:r>
      <w:r>
        <w:rPr>
          <w:rFonts w:ascii="仿宋_GB2312" w:hAnsi="宋体" w:eastAsia="仿宋_GB2312"/>
          <w:sz w:val="32"/>
          <w:szCs w:val="32"/>
        </w:rPr>
        <w:t>39.71</w:t>
      </w:r>
      <w:r>
        <w:rPr>
          <w:rFonts w:hint="eastAsia" w:ascii="仿宋_GB2312" w:hAnsi="宋体" w:eastAsia="仿宋_GB2312"/>
          <w:sz w:val="32"/>
          <w:szCs w:val="32"/>
        </w:rPr>
        <w:t>万元，完成2019年年初预算的100%。</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2.交通运输（类）</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（1）公路水路运输（款）其他公路水路运输支出（项）。2019年财政拨款支出　249万元，完成2019年年初预算的77.62%。</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3.住房保障支出（类）</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（1）住房改革支出（款）住房公积金（项）。2019年财政拨款支出38万元，完成2019年年初预算的100%。</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宋体" w:eastAsia="仿宋_GB2312"/>
          <w:color w:val="FF0000"/>
          <w:sz w:val="32"/>
          <w:szCs w:val="32"/>
        </w:rPr>
      </w:pPr>
      <w:r>
        <w:rPr>
          <w:rFonts w:hint="eastAsia" w:ascii="仿宋_GB2312" w:hAnsi="宋体" w:eastAsia="仿宋_GB2312"/>
          <w:sz w:val="32"/>
          <w:szCs w:val="32"/>
        </w:rPr>
        <w:t>（2）住房改革支出（款）购房补贴（项）。2019年财政拨款支出49.58万元，完成2019年年初预算的91.81%。</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五、关于一般公共预算财政拨款基本支出决算情况说明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浙江海事局后勤管理中心2019年一般公共预算财政拨款基本支出376.29万元，其中：</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color w:val="FF0000"/>
          <w:sz w:val="32"/>
          <w:szCs w:val="32"/>
        </w:rPr>
      </w:pPr>
      <w:r>
        <w:rPr>
          <w:rFonts w:hint="eastAsia" w:ascii="仿宋_GB2312" w:hAnsi="宋体" w:eastAsia="仿宋_GB2312"/>
          <w:sz w:val="32"/>
          <w:szCs w:val="32"/>
        </w:rPr>
        <w:t>人员经费305.29万元，主要包括：基本工资、津贴补贴、奖金、社会保障缴费、伙食补助费、绩效工资、机关事业单位基本养老保险缴费、其他工资福利支出、退休费、住房公积金、购房补贴、其他对个人和家庭的补助支出等。</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日常公用经费71.00万元，主要包括：办公费、印刷费、手续费、水费、电费、邮电费、物业管理费、差旅费、维修（护）费、会议费、培训费、专用材料费、委托业务费、工会经费、福利费、公务用车运行维护费、税金及附加费、其他商品和服务支出、办公设备购置、信息网络及软件购置更新、其他资本性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六、关于一般公共财政拨款“三公”经费支出决算情况说明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2019年度，浙江海事局后勤管理中心一般公共预算财政拨款“三公”经费支出23.34万元，完成年初预算的57.49%。其中：公务用车运行费23.34万元，完成预算的57.49%。主要原因是认真贯彻落实中央八项规定和厉行节约要求，严格控制和压缩“三公”经费相关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2019年一般公共预算财政拨款“三公”经费决算数较2018年决算数减少支出3.12万元，降幅11.79%。主要原因是严控公务用车运行维护费。</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1.公务用车购置及运行费支出23.34万元。其中：</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公务用车运行费支出23.34万元。主要用于市内公务活动及后勤业务用车所需车辆燃料费、维修费、过桥过路费、保险费等。2019年，浙江海事局后勤管理中心使用财政拨款支出的公务用车保有量为10辆，平均每辆运行费支出2.33万元。</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七、其他重要事项情况说明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（一）政府采购支出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2019年度浙江海事局后勤管理中心政府采购支出总额0.28万元，其中：政府采购货物支出0.28万元。授予中小企业合同金额0.00万元，占政府采购支出总额的0%。</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（二）国有资产占用情况</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截至2019年12月31日，浙江海事局后勤管理中心共有车辆10辆，其中，其他用车10辆。单位价值50万元以上通用设备0台（套）。</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（三）2019年度预算绩效情况说明</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2019年度浙江海事局后勤管理中心无项目，未开展预算绩效自评。</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sectPr>
          <w:pgSz w:w="11906" w:h="16838"/>
          <w:pgMar w:top="1440" w:right="1800" w:bottom="1440" w:left="1800" w:header="851" w:footer="992" w:gutter="0"/>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rPr>
          <w:rFonts w:ascii="宋体" w:hAnsi="宋体"/>
          <w:sz w:val="36"/>
          <w:szCs w:val="32"/>
        </w:rPr>
      </w:pPr>
      <w:bookmarkStart w:id="13" w:name="_Toc46157804"/>
      <w:r>
        <w:rPr>
          <w:rFonts w:hint="eastAsia" w:ascii="宋体" w:hAnsi="宋体"/>
          <w:sz w:val="36"/>
          <w:szCs w:val="32"/>
        </w:rPr>
        <w:t>第四部分 名词解释</w:t>
      </w:r>
      <w:bookmarkEnd w:id="13"/>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rPr>
          <w:rFonts w:ascii="仿宋_GB2312" w:hAnsi="宋体" w:eastAsia="仿宋_GB2312"/>
        </w:rPr>
      </w:pPr>
      <w:bookmarkStart w:id="14" w:name="_Toc46157805"/>
      <w:r>
        <w:rPr>
          <w:rFonts w:hint="eastAsia" w:ascii="仿宋_GB2312" w:hAnsi="宋体" w:eastAsia="仿宋_GB2312"/>
        </w:rPr>
        <w:t>一、收入科目</w:t>
      </w:r>
      <w:bookmarkEnd w:id="14"/>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（一）财政拨款收入：指中央财政当年拨付的资金。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（二）事业收入：指事业单位开支专业业务活动及辅助活动所取得的收入。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（三）经营收入：指事业单位在专业业务活动及辅助活动之外开支非独立核算经营活动所取得的收入。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（四）附属单位上缴收入：指事业单位附属独立核算单位按照有关规定上缴的收入。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（五）其他收入：指除上述“财政拨款”、“事业收入”、“事业单位经营收入”、“附属单位上缴收入”等以外的收入。</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用事业基金弥补收支差额：指事业单位在当年的“财政拨款”、“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（七）上年结转和结余：指以前年度尚未完成、结转到本年仍按原规定用途继续使用的资金和支出预算工作目标已完成，或由于受政策变化、计划调整等因素影响工作终止，当年剩余的资金。</w:t>
      </w:r>
    </w:p>
    <w:p>
      <w:pPr>
        <w:pStyle w:val="3"/>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rPr>
          <w:rFonts w:ascii="仿宋_GB2312" w:hAnsi="宋体" w:eastAsia="仿宋_GB2312"/>
        </w:rPr>
      </w:pPr>
      <w:bookmarkStart w:id="15" w:name="_Toc46157806"/>
      <w:r>
        <w:rPr>
          <w:rFonts w:hint="eastAsia" w:ascii="仿宋_GB2312" w:hAnsi="宋体" w:eastAsia="仿宋_GB2312"/>
        </w:rPr>
        <w:t>二、支出科目</w:t>
      </w:r>
      <w:bookmarkEnd w:id="15"/>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（八）社会保障和就业（类）行政事业单位离退休（款）：</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1.事业单位离退休（项）：指用于事业单位离退休方面的支出。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（九）交通运输（类）公路水路运输（款）：</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1.其他公路水路运输支出（项）：指除一般项目之外的用于其他公路水路运输事务的支出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（十）住房保障（类）住房改革（款）：</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1.住房公积金（项）：反映行政事业单位按人力资源和社会保障部、财政部规定的基本工资和津贴补贴以及规定比例为职工缴纳的住房公积金。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2.购房补贴（项）：反映按房改政策规定，行政事业单位向符合条件职工（含离退休人员）、军队（含武警）、转役复原 人员发放的用于购买住房的补贴。</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（十一） “三公”经费：纳入中央财政预决算管理的“三公”经费，是指中央部门使用财政拨款安排的因公出国（境）费、公务用车购置运行费和公务接待费。其中，因公出国（境）费指单位公务出国（境）的住宿费、旅费、伙食补助费、杂费、培训费等支出；公务用车购置运行费指单位公务用车购置费及租用费、燃料费、维修费、过路过桥费、保险费、安全奖励费用等支出；公务接待费指单位按规定开支的各类接待（含外宾接待）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（十二）结转下年：指以前年度预算安排、因客观条件发生变化无法按原计划实施，需延迟到以后年度按原规定用途继续使用的资金。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（十三）基本支出：指为保障机构正常运转、完成日常工作任务而发生的人员支出和公用支出。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（十四）项目支出：指在基本支出之外为完成特定行政任务和事业发展目标所发生的支出。</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（十五）经营支出：指事业单位在专业业务及其辅助活动之外开支非独立核算经营活动发生的支出。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D16"/>
    <w:rsid w:val="00011D87"/>
    <w:rsid w:val="000175BA"/>
    <w:rsid w:val="00040BCE"/>
    <w:rsid w:val="00055CC2"/>
    <w:rsid w:val="00071E8B"/>
    <w:rsid w:val="00073AB1"/>
    <w:rsid w:val="000755E3"/>
    <w:rsid w:val="00077DF4"/>
    <w:rsid w:val="000948C5"/>
    <w:rsid w:val="00096472"/>
    <w:rsid w:val="000F1D3F"/>
    <w:rsid w:val="000F7C6D"/>
    <w:rsid w:val="00101404"/>
    <w:rsid w:val="00194A51"/>
    <w:rsid w:val="0019529C"/>
    <w:rsid w:val="001C0D8D"/>
    <w:rsid w:val="001F410F"/>
    <w:rsid w:val="00220B7F"/>
    <w:rsid w:val="00252FBE"/>
    <w:rsid w:val="00271090"/>
    <w:rsid w:val="00281A1B"/>
    <w:rsid w:val="002918C9"/>
    <w:rsid w:val="002A093B"/>
    <w:rsid w:val="002C67C4"/>
    <w:rsid w:val="002D684C"/>
    <w:rsid w:val="002D6EC6"/>
    <w:rsid w:val="00303C43"/>
    <w:rsid w:val="003149EB"/>
    <w:rsid w:val="003153CD"/>
    <w:rsid w:val="00327EF8"/>
    <w:rsid w:val="003351B8"/>
    <w:rsid w:val="003429B5"/>
    <w:rsid w:val="00366429"/>
    <w:rsid w:val="00366C48"/>
    <w:rsid w:val="0038157F"/>
    <w:rsid w:val="00385C06"/>
    <w:rsid w:val="00385E4F"/>
    <w:rsid w:val="003954C8"/>
    <w:rsid w:val="003A3E41"/>
    <w:rsid w:val="003A54DF"/>
    <w:rsid w:val="003A7C93"/>
    <w:rsid w:val="003B13AE"/>
    <w:rsid w:val="003B3C6A"/>
    <w:rsid w:val="003C1609"/>
    <w:rsid w:val="003D0E3A"/>
    <w:rsid w:val="003F282D"/>
    <w:rsid w:val="00407D2D"/>
    <w:rsid w:val="0044147A"/>
    <w:rsid w:val="0044312C"/>
    <w:rsid w:val="0046354D"/>
    <w:rsid w:val="004727E1"/>
    <w:rsid w:val="00475776"/>
    <w:rsid w:val="00487749"/>
    <w:rsid w:val="0049497C"/>
    <w:rsid w:val="004E5290"/>
    <w:rsid w:val="004F3A8D"/>
    <w:rsid w:val="004F601C"/>
    <w:rsid w:val="00500B77"/>
    <w:rsid w:val="00504D40"/>
    <w:rsid w:val="00514733"/>
    <w:rsid w:val="005245E2"/>
    <w:rsid w:val="00556C1A"/>
    <w:rsid w:val="005770FE"/>
    <w:rsid w:val="005B433C"/>
    <w:rsid w:val="005E4D16"/>
    <w:rsid w:val="0061231E"/>
    <w:rsid w:val="0062648C"/>
    <w:rsid w:val="00626610"/>
    <w:rsid w:val="00644C4D"/>
    <w:rsid w:val="006A6233"/>
    <w:rsid w:val="006C1BFE"/>
    <w:rsid w:val="006E07A7"/>
    <w:rsid w:val="007022A9"/>
    <w:rsid w:val="00707D02"/>
    <w:rsid w:val="00723FBD"/>
    <w:rsid w:val="00745968"/>
    <w:rsid w:val="007506A9"/>
    <w:rsid w:val="00753832"/>
    <w:rsid w:val="00772380"/>
    <w:rsid w:val="007747E5"/>
    <w:rsid w:val="00776253"/>
    <w:rsid w:val="007A46F2"/>
    <w:rsid w:val="007B6485"/>
    <w:rsid w:val="007E7BCF"/>
    <w:rsid w:val="00803ECA"/>
    <w:rsid w:val="00814624"/>
    <w:rsid w:val="008149D8"/>
    <w:rsid w:val="00815324"/>
    <w:rsid w:val="00832C93"/>
    <w:rsid w:val="00835F4A"/>
    <w:rsid w:val="0086684C"/>
    <w:rsid w:val="008708E4"/>
    <w:rsid w:val="00880C23"/>
    <w:rsid w:val="008A22F7"/>
    <w:rsid w:val="008B2595"/>
    <w:rsid w:val="008D4B27"/>
    <w:rsid w:val="008F0ECB"/>
    <w:rsid w:val="0090464A"/>
    <w:rsid w:val="00934663"/>
    <w:rsid w:val="00957920"/>
    <w:rsid w:val="0097247F"/>
    <w:rsid w:val="0098633C"/>
    <w:rsid w:val="009869CB"/>
    <w:rsid w:val="009E12D0"/>
    <w:rsid w:val="009E2B47"/>
    <w:rsid w:val="00A430F0"/>
    <w:rsid w:val="00A4392F"/>
    <w:rsid w:val="00A46FC0"/>
    <w:rsid w:val="00A50449"/>
    <w:rsid w:val="00A5461D"/>
    <w:rsid w:val="00A8000E"/>
    <w:rsid w:val="00A948BF"/>
    <w:rsid w:val="00AA649C"/>
    <w:rsid w:val="00AD71C9"/>
    <w:rsid w:val="00AF36EC"/>
    <w:rsid w:val="00B03C3B"/>
    <w:rsid w:val="00B23C13"/>
    <w:rsid w:val="00B25D81"/>
    <w:rsid w:val="00B44328"/>
    <w:rsid w:val="00B63878"/>
    <w:rsid w:val="00B835E6"/>
    <w:rsid w:val="00B91E9D"/>
    <w:rsid w:val="00BA06F5"/>
    <w:rsid w:val="00BE73B7"/>
    <w:rsid w:val="00C1758A"/>
    <w:rsid w:val="00C24FEE"/>
    <w:rsid w:val="00C30249"/>
    <w:rsid w:val="00C502FC"/>
    <w:rsid w:val="00C525A4"/>
    <w:rsid w:val="00C54F30"/>
    <w:rsid w:val="00C84263"/>
    <w:rsid w:val="00C85E32"/>
    <w:rsid w:val="00CB6AED"/>
    <w:rsid w:val="00CC076A"/>
    <w:rsid w:val="00CD39FF"/>
    <w:rsid w:val="00CE22AE"/>
    <w:rsid w:val="00CE3A74"/>
    <w:rsid w:val="00CE7095"/>
    <w:rsid w:val="00D22BA5"/>
    <w:rsid w:val="00D32635"/>
    <w:rsid w:val="00D47D37"/>
    <w:rsid w:val="00D7592F"/>
    <w:rsid w:val="00DA6397"/>
    <w:rsid w:val="00DB0334"/>
    <w:rsid w:val="00DC05A6"/>
    <w:rsid w:val="00E62364"/>
    <w:rsid w:val="00E93E4F"/>
    <w:rsid w:val="00ED7642"/>
    <w:rsid w:val="00EE29F3"/>
    <w:rsid w:val="00F40897"/>
    <w:rsid w:val="00F67DE1"/>
    <w:rsid w:val="00F81DB7"/>
    <w:rsid w:val="00F84338"/>
    <w:rsid w:val="00F90EFB"/>
    <w:rsid w:val="00FD5A8A"/>
    <w:rsid w:val="00FE4083"/>
    <w:rsid w:val="38E37B0B"/>
    <w:rsid w:val="7E8A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rFonts w:cs="宋体"/>
      <w:b/>
      <w:bCs/>
      <w:kern w:val="44"/>
      <w:sz w:val="28"/>
      <w:szCs w:val="28"/>
    </w:rPr>
  </w:style>
  <w:style w:type="paragraph" w:styleId="3">
    <w:name w:val="heading 2"/>
    <w:basedOn w:val="1"/>
    <w:next w:val="1"/>
    <w:link w:val="12"/>
    <w:qFormat/>
    <w:uiPriority w:val="0"/>
    <w:pPr>
      <w:keepNext/>
      <w:keepLines/>
      <w:spacing w:before="260" w:after="260" w:line="413" w:lineRule="auto"/>
      <w:jc w:val="center"/>
      <w:outlineLvl w:val="1"/>
    </w:pPr>
    <w:rPr>
      <w:rFonts w:ascii="Arial" w:hAnsi="Arial" w:eastAsia="黑体" w:cs="黑体"/>
      <w:sz w:val="32"/>
      <w:szCs w:val="32"/>
    </w:rPr>
  </w:style>
  <w:style w:type="character" w:default="1" w:styleId="10">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uiPriority w:val="99"/>
    <w:rPr>
      <w:rFonts w:cs="宋体"/>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cs="宋体"/>
      <w:szCs w:val="21"/>
    </w:rPr>
  </w:style>
  <w:style w:type="paragraph" w:styleId="8">
    <w:name w:val="toc 2"/>
    <w:basedOn w:val="1"/>
    <w:next w:val="1"/>
    <w:uiPriority w:val="39"/>
    <w:pPr>
      <w:ind w:left="420" w:leftChars="200"/>
    </w:pPr>
    <w:rPr>
      <w:rFonts w:cs="宋体"/>
      <w:szCs w:val="21"/>
    </w:rPr>
  </w:style>
  <w:style w:type="character" w:styleId="11">
    <w:name w:val="Hyperlink"/>
    <w:basedOn w:val="10"/>
    <w:unhideWhenUsed/>
    <w:qFormat/>
    <w:uiPriority w:val="99"/>
    <w:rPr>
      <w:color w:val="0563C1"/>
      <w:u w:val="single"/>
    </w:rPr>
  </w:style>
  <w:style w:type="character" w:customStyle="1" w:styleId="12">
    <w:name w:val="标题 2 Char"/>
    <w:basedOn w:val="10"/>
    <w:link w:val="3"/>
    <w:qFormat/>
    <w:uiPriority w:val="0"/>
    <w:rPr>
      <w:rFonts w:ascii="Arial" w:hAnsi="Arial" w:eastAsia="黑体" w:cs="黑体"/>
      <w:sz w:val="32"/>
      <w:szCs w:val="32"/>
    </w:rPr>
  </w:style>
  <w:style w:type="character" w:customStyle="1" w:styleId="13">
    <w:name w:val="页眉 Char"/>
    <w:basedOn w:val="10"/>
    <w:link w:val="6"/>
    <w:qFormat/>
    <w:uiPriority w:val="0"/>
    <w:rPr>
      <w:sz w:val="18"/>
      <w:szCs w:val="18"/>
    </w:rPr>
  </w:style>
  <w:style w:type="character" w:customStyle="1" w:styleId="14">
    <w:name w:val="页脚 Char"/>
    <w:basedOn w:val="10"/>
    <w:link w:val="5"/>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6">
    <w:name w:val="标题 1 Char"/>
    <w:basedOn w:val="10"/>
    <w:link w:val="2"/>
    <w:qFormat/>
    <w:uiPriority w:val="0"/>
    <w:rPr>
      <w:rFonts w:ascii="Calibri" w:hAnsi="Calibri" w:eastAsia="宋体" w:cs="宋体"/>
      <w:b/>
      <w:bCs/>
      <w:kern w:val="44"/>
      <w:sz w:val="28"/>
      <w:szCs w:val="28"/>
    </w:rPr>
  </w:style>
  <w:style w:type="character" w:customStyle="1" w:styleId="17">
    <w:name w:val="页码1"/>
    <w:basedOn w:val="10"/>
    <w:qFormat/>
    <w:uiPriority w:val="0"/>
  </w:style>
  <w:style w:type="character" w:customStyle="1" w:styleId="18">
    <w:name w:val="font51"/>
    <w:basedOn w:val="10"/>
    <w:uiPriority w:val="0"/>
    <w:rPr>
      <w:rFonts w:ascii="宋体" w:cs="宋体"/>
      <w:color w:val="000000"/>
      <w:sz w:val="18"/>
      <w:szCs w:val="18"/>
    </w:rPr>
  </w:style>
  <w:style w:type="character" w:customStyle="1" w:styleId="19">
    <w:name w:val="font31"/>
    <w:basedOn w:val="10"/>
    <w:qFormat/>
    <w:uiPriority w:val="0"/>
    <w:rPr>
      <w:rFonts w:ascii="宋体" w:cs="宋体"/>
      <w:b/>
      <w:bCs/>
      <w:color w:val="000000"/>
      <w:sz w:val="18"/>
      <w:szCs w:val="18"/>
    </w:rPr>
  </w:style>
  <w:style w:type="character" w:customStyle="1" w:styleId="20">
    <w:name w:val="批注框文本 Char"/>
    <w:basedOn w:val="10"/>
    <w:link w:val="4"/>
    <w:qFormat/>
    <w:uiPriority w:val="99"/>
    <w:rPr>
      <w:rFonts w:ascii="Calibri" w:hAnsi="Calibri" w:eastAsia="宋体" w:cs="宋体"/>
      <w:sz w:val="18"/>
      <w:szCs w:val="18"/>
    </w:rPr>
  </w:style>
  <w:style w:type="paragraph" w:styleId="21">
    <w:name w:val="List Paragraph"/>
    <w:basedOn w:val="1"/>
    <w:qFormat/>
    <w:uiPriority w:val="34"/>
    <w:pPr>
      <w:ind w:firstLine="420" w:firstLineChars="200"/>
    </w:pPr>
    <w:rPr>
      <w:rFonts w:cs="宋体"/>
      <w:szCs w:val="21"/>
    </w:rPr>
  </w:style>
  <w:style w:type="paragraph" w:customStyle="1" w:styleId="22">
    <w:name w:val="TOC Heading"/>
    <w:basedOn w:val="2"/>
    <w:next w:val="1"/>
    <w:unhideWhenUsed/>
    <w:qFormat/>
    <w:uiPriority w:val="39"/>
    <w:pPr>
      <w:widowControl/>
      <w:spacing w:before="480" w:after="0" w:line="276" w:lineRule="auto"/>
      <w:jc w:val="left"/>
      <w:outlineLvl w:val="9"/>
    </w:pPr>
    <w:rPr>
      <w:rFonts w:ascii="Calibri Light" w:hAnsi="Calibri Light" w:cs="Times New Roman"/>
      <w:color w:val="2E74B5"/>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F23C1-B7E1-4335-9774-AD94B9D1880C}">
  <ds:schemaRefs/>
</ds:datastoreItem>
</file>

<file path=docProps/app.xml><?xml version="1.0" encoding="utf-8"?>
<Properties xmlns="http://schemas.openxmlformats.org/officeDocument/2006/extended-properties" xmlns:vt="http://schemas.openxmlformats.org/officeDocument/2006/docPropsVTypes">
  <Template>Normal</Template>
  <Pages>23</Pages>
  <Words>1454</Words>
  <Characters>8292</Characters>
  <Lines>69</Lines>
  <Paragraphs>19</Paragraphs>
  <TotalTime>5</TotalTime>
  <ScaleCrop>false</ScaleCrop>
  <LinksUpToDate>false</LinksUpToDate>
  <CharactersWithSpaces>9727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2019-06-11T01:31:00Z</dcterms:created>
  <dc:creator>吕恩</dc:creator>
  <cp:lastModifiedBy>蒋萌</cp:lastModifiedBy>
  <dcterms:modified xsi:type="dcterms:W3CDTF">2024-03-27T00:52:00Z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