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浙江海事局2018年工作总结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，浙江海事局以“三化”建设为统领，以“走在前列”为总纲，坚持“一张蓝图绘到底”，构建业务、行政、党建和服务地方经济发展的“四位一体”管理格局，紧紧抓住发展主线，充分发挥重点项目牵引作用，有效提高了宏观引领、监管保障、服务发展、综合管理的水平，浙江海事事业呈现昂扬向上的良好态势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（一）坚持系统思维，着力机制创新和流程再造，撬动三大领域转型升级，战略推进稳妥有力。</w:t>
      </w:r>
      <w:r>
        <w:rPr>
          <w:rFonts w:hint="eastAsia" w:ascii="仿宋_GB2312" w:eastAsia="仿宋_GB2312"/>
          <w:sz w:val="32"/>
          <w:szCs w:val="32"/>
        </w:rPr>
        <w:t>一是进一步整合执法资源、健全执法机制、提升执法效能，现场综合执法机制全面升级，事中事后监管得到全面加强。二是海事政务服务建立新模式，在海事系统首创“就近跑一次”政务办理模式。三是综合管理体系迈向成熟期，体系覆盖性、符合性和有效性明显提升。</w:t>
      </w:r>
    </w:p>
    <w:p>
      <w:pPr>
        <w:ind w:firstLine="640" w:firstLineChars="200"/>
        <w:rPr>
          <w:rFonts w:hint="eastAsia" w:ascii="黑体" w:eastAsia="仿宋_GB2312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（二）坚持围绕主业，着力难点突破和制度指引，形成一批治理样板，海事监管能力显著提升。</w:t>
      </w:r>
      <w:r>
        <w:rPr>
          <w:rFonts w:hint="eastAsia" w:ascii="仿宋_GB2312" w:eastAsia="仿宋_GB2312"/>
          <w:sz w:val="32"/>
          <w:szCs w:val="32"/>
        </w:rPr>
        <w:t>一是重点难点治理取得突破，低标准船舶治理成果进一步巩固，水上客渡运综合安全监督管理科学有效。二是持续推进与地方政府在隐患治理、信用管理、防污染能力建设等方面的合作共建，有效落实安全管理责任，不断健全水上安全多元共治格局。三是本质安全紧抓不放，持续推进重大风险和重大隐患的排查治理，有效遏制重特大事故发生。四是圆满完成上合组织青岛峰会、第五届世界互联网大会等重大活动期间水上安保任务，有力保障节假日等重点时段水上交通运输安全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（三）坚持服务大局，着力战略对接和先行先试，探索一系列应为可为之举，服务发展能力持续提高。</w:t>
      </w:r>
      <w:r>
        <w:rPr>
          <w:rFonts w:hint="eastAsia" w:ascii="仿宋_GB2312" w:eastAsia="仿宋_GB2312"/>
          <w:sz w:val="32"/>
          <w:szCs w:val="32"/>
        </w:rPr>
        <w:t>一是积极对接国家交通强国战略，深入开展交通强国海事篇研究。二是</w:t>
      </w:r>
      <w:r>
        <w:rPr>
          <w:rFonts w:ascii="仿宋_GB2312" w:eastAsia="仿宋_GB2312"/>
          <w:sz w:val="32"/>
          <w:szCs w:val="32"/>
        </w:rPr>
        <w:t>深入对接海洋强省、国际强港等战略，</w:t>
      </w:r>
      <w:r>
        <w:rPr>
          <w:rFonts w:hint="eastAsia" w:ascii="仿宋_GB2312" w:eastAsia="仿宋_GB2312"/>
          <w:sz w:val="32"/>
          <w:szCs w:val="32"/>
        </w:rPr>
        <w:t>创新服务重大战略工作举措。三是以宁波舟山港一体化为切入点，构建海事监管服务一体化格局。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2"/>
          <w:szCs w:val="32"/>
        </w:rPr>
        <w:t>（四）坚持强基固本，着力素质增强和能力提升，兼顾软硬实力发展，综合实力不断增强</w:t>
      </w:r>
      <w:r>
        <w:rPr>
          <w:rFonts w:hint="eastAsia" w:ascii="黑体" w:eastAsia="黑体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一是浙江海事“蓝色铁军”建设进入轨道，干部队伍建设、青年队伍建设、专业人才培养有新举措。二是事业发展硬实力持续增强，扎实推进“十三五”建设规划项目实施，加大项目储备力度，加快推进信息化建设和一体化发展。三是队伍执行力有效，全局战略目标和重点任务执行落实到位，预算执行到位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（五）坚持党的领导，着力理论武装和责任落实，筑牢全面从严治党新高地，政治保障始终坚强有力。</w:t>
      </w:r>
      <w:r>
        <w:rPr>
          <w:rFonts w:hint="eastAsia" w:ascii="仿宋_GB2312" w:eastAsia="仿宋_GB2312"/>
          <w:sz w:val="32"/>
          <w:szCs w:val="32"/>
        </w:rPr>
        <w:t>一是</w:t>
      </w:r>
      <w:r>
        <w:rPr>
          <w:rFonts w:ascii="仿宋_GB2312" w:eastAsia="仿宋_GB2312"/>
          <w:sz w:val="32"/>
          <w:szCs w:val="32"/>
        </w:rPr>
        <w:t>旗帜鲜明讲政治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严明党的政治纪律和政治规矩，强化政治领导，</w:t>
      </w:r>
      <w:r>
        <w:rPr>
          <w:rFonts w:hint="eastAsia" w:ascii="仿宋_GB2312" w:eastAsia="仿宋_GB2312"/>
          <w:sz w:val="32"/>
          <w:szCs w:val="32"/>
        </w:rPr>
        <w:t>促进全局党员干部牢固树立“四个意识”、坚定“四个自信”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做到“两个维护”。二是贯彻落实新时代党的组织路线，切实加强党的组织体系建设，基层党组织建设扎实有力。三是落实全面从严治党“两个责任”和党风廉政建设责任制，党风廉政建设常抓不懈。四是搭建浙江海事特色文化体系，激发精神文明建设新动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1A7F"/>
    <w:rsid w:val="003908FE"/>
    <w:rsid w:val="00477411"/>
    <w:rsid w:val="006677B3"/>
    <w:rsid w:val="006B012B"/>
    <w:rsid w:val="007B7B50"/>
    <w:rsid w:val="00986593"/>
    <w:rsid w:val="00B5400D"/>
    <w:rsid w:val="00BB3C28"/>
    <w:rsid w:val="00DF1AB8"/>
    <w:rsid w:val="00E83F01"/>
    <w:rsid w:val="00ED1A7F"/>
    <w:rsid w:val="09DD4FB3"/>
    <w:rsid w:val="2D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165</Words>
  <Characters>945</Characters>
  <Lines>7</Lines>
  <Paragraphs>2</Paragraphs>
  <TotalTime>0</TotalTime>
  <ScaleCrop>false</ScaleCrop>
  <LinksUpToDate>false</LinksUpToDate>
  <CharactersWithSpaces>1108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2019-06-18T01:35:00Z</dcterms:created>
  <dc:creator>微软用户</dc:creator>
  <cp:lastModifiedBy>Administrator</cp:lastModifiedBy>
  <dcterms:modified xsi:type="dcterms:W3CDTF">2025-08-18T03:33:27Z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